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A6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ЗАТВЕРДЖЕНО</w:t>
      </w:r>
    </w:p>
    <w:p w:rsidR="00454CD8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постановою Кабінету Міністрів України</w:t>
      </w:r>
    </w:p>
    <w:p w:rsidR="00454CD8" w:rsidRPr="00454CD8" w:rsidRDefault="00454CD8" w:rsidP="00851F16">
      <w:pPr>
        <w:pStyle w:val="a4"/>
        <w:widowControl/>
        <w:spacing w:line="276" w:lineRule="auto"/>
        <w:ind w:left="4536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від __ _______________ 201_р. №</w:t>
      </w:r>
    </w:p>
    <w:p w:rsidR="00454CD8" w:rsidRDefault="00454CD8" w:rsidP="00111CDF">
      <w:pPr>
        <w:pStyle w:val="a4"/>
        <w:widowControl/>
        <w:spacing w:after="200" w:line="276" w:lineRule="auto"/>
        <w:jc w:val="center"/>
        <w:rPr>
          <w:spacing w:val="0"/>
          <w:kern w:val="0"/>
          <w:position w:val="0"/>
          <w:sz w:val="28"/>
          <w:szCs w:val="28"/>
          <w:lang w:val="uk-UA"/>
        </w:rPr>
      </w:pPr>
    </w:p>
    <w:p w:rsidR="00797CD9" w:rsidRDefault="00797CD9" w:rsidP="00111CDF">
      <w:pPr>
        <w:pStyle w:val="a4"/>
        <w:widowControl/>
        <w:spacing w:after="200" w:line="276" w:lineRule="auto"/>
        <w:jc w:val="center"/>
        <w:rPr>
          <w:spacing w:val="0"/>
          <w:kern w:val="0"/>
          <w:position w:val="0"/>
          <w:sz w:val="28"/>
          <w:szCs w:val="28"/>
          <w:lang w:val="uk-UA"/>
        </w:rPr>
      </w:pPr>
    </w:p>
    <w:p w:rsidR="00454CD8" w:rsidRPr="00454CD8" w:rsidRDefault="00364CA6" w:rsidP="00111CDF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454CD8">
        <w:rPr>
          <w:b/>
          <w:spacing w:val="0"/>
          <w:kern w:val="0"/>
          <w:position w:val="0"/>
          <w:sz w:val="28"/>
          <w:szCs w:val="28"/>
          <w:lang w:val="uk-UA"/>
        </w:rPr>
        <w:t>ТЕХНІЧНИЙ РЕГЛАМЕНТ</w:t>
      </w:r>
    </w:p>
    <w:p w:rsidR="00AA2E1F" w:rsidRPr="00AA2E1F" w:rsidRDefault="00364CA6" w:rsidP="00797CD9">
      <w:pPr>
        <w:pStyle w:val="a4"/>
        <w:widowControl/>
        <w:spacing w:after="24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454CD8">
        <w:rPr>
          <w:b/>
          <w:spacing w:val="0"/>
          <w:kern w:val="0"/>
          <w:position w:val="0"/>
          <w:sz w:val="28"/>
          <w:szCs w:val="28"/>
          <w:lang w:val="uk-UA"/>
        </w:rPr>
        <w:t xml:space="preserve">щодо вимог </w:t>
      </w:r>
      <w:r w:rsidR="00B428E2">
        <w:rPr>
          <w:b/>
          <w:spacing w:val="0"/>
          <w:kern w:val="0"/>
          <w:position w:val="0"/>
          <w:sz w:val="28"/>
          <w:szCs w:val="28"/>
          <w:lang w:val="uk-UA"/>
        </w:rPr>
        <w:t>до</w:t>
      </w:r>
      <w:r w:rsidRPr="00454CD8">
        <w:rPr>
          <w:b/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Pr="008D30DA">
        <w:rPr>
          <w:b/>
          <w:spacing w:val="0"/>
          <w:kern w:val="0"/>
          <w:position w:val="0"/>
          <w:sz w:val="28"/>
          <w:szCs w:val="28"/>
          <w:lang w:val="uk-UA"/>
        </w:rPr>
        <w:t>екодизайну для</w:t>
      </w:r>
      <w:r w:rsidR="00D32387" w:rsidRPr="008D30DA">
        <w:rPr>
          <w:b/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8D30DA" w:rsidRPr="008D30DA">
        <w:rPr>
          <w:b/>
          <w:spacing w:val="0"/>
          <w:kern w:val="0"/>
          <w:position w:val="0"/>
          <w:sz w:val="28"/>
          <w:szCs w:val="28"/>
          <w:lang w:val="uk-UA"/>
        </w:rPr>
        <w:t xml:space="preserve">обігрівачів приміщень та комбінованих </w:t>
      </w:r>
      <w:r w:rsidR="009F32BA" w:rsidRPr="00BE3389">
        <w:rPr>
          <w:b/>
          <w:spacing w:val="0"/>
          <w:kern w:val="0"/>
          <w:position w:val="0"/>
          <w:sz w:val="28"/>
          <w:szCs w:val="28"/>
          <w:lang w:val="uk-UA"/>
        </w:rPr>
        <w:t>обігрівачів</w:t>
      </w:r>
    </w:p>
    <w:p w:rsidR="00364CA6" w:rsidRPr="00797CD9" w:rsidRDefault="00364CA6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b/>
          <w:spacing w:val="0"/>
          <w:kern w:val="0"/>
          <w:position w:val="0"/>
          <w:sz w:val="28"/>
          <w:szCs w:val="28"/>
          <w:lang w:val="uk-UA"/>
        </w:rPr>
        <w:t>Загальна частина</w:t>
      </w:r>
    </w:p>
    <w:p w:rsidR="00B92499" w:rsidRPr="00797CD9" w:rsidRDefault="00830E67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highlight w:val="lightGray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1. </w:t>
      </w:r>
      <w:r w:rsidR="00405857" w:rsidRPr="00797CD9">
        <w:rPr>
          <w:spacing w:val="0"/>
          <w:kern w:val="0"/>
          <w:position w:val="0"/>
          <w:sz w:val="28"/>
          <w:szCs w:val="28"/>
          <w:lang w:val="uk-UA"/>
        </w:rPr>
        <w:t>Цей Технічний р</w:t>
      </w:r>
      <w:r w:rsidR="00B92499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егламент встановлює вимоги до екодизайну щодо </w:t>
      </w:r>
      <w:r w:rsidR="00920456" w:rsidRPr="00797CD9">
        <w:rPr>
          <w:spacing w:val="0"/>
          <w:kern w:val="0"/>
          <w:position w:val="0"/>
          <w:sz w:val="28"/>
          <w:szCs w:val="28"/>
          <w:lang w:val="uk-UA"/>
        </w:rPr>
        <w:t>введення в обіг</w:t>
      </w:r>
      <w:r w:rsidR="00B92499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8D30DA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обігрівачів приміщень та комбінованих </w:t>
      </w:r>
      <w:r w:rsidR="002204EF" w:rsidRPr="00797CD9">
        <w:rPr>
          <w:spacing w:val="0"/>
          <w:kern w:val="0"/>
          <w:position w:val="0"/>
          <w:sz w:val="28"/>
          <w:szCs w:val="28"/>
          <w:lang w:val="uk-UA"/>
        </w:rPr>
        <w:t>обі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>г</w:t>
      </w:r>
      <w:r w:rsidR="008D30DA" w:rsidRPr="00797CD9">
        <w:rPr>
          <w:spacing w:val="0"/>
          <w:kern w:val="0"/>
          <w:position w:val="0"/>
          <w:sz w:val="28"/>
          <w:szCs w:val="28"/>
          <w:lang w:val="uk-UA"/>
        </w:rPr>
        <w:t>рівачів</w:t>
      </w:r>
      <w:r w:rsidR="00A43AA2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8D30DA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з номінальною тепловою потужністю ≤ 400 кВт, у тому числі тих, що включені в комплекти з обігрівача приміщення, терморегулятора та сонячного обладнання, а також комплекти з комбінованого 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>обі</w:t>
      </w:r>
      <w:r w:rsidR="008D30DA" w:rsidRPr="00797CD9">
        <w:rPr>
          <w:spacing w:val="0"/>
          <w:kern w:val="0"/>
          <w:position w:val="0"/>
          <w:sz w:val="28"/>
          <w:szCs w:val="28"/>
          <w:lang w:val="uk-UA"/>
        </w:rPr>
        <w:t>грівача, терморегулятора та сонячного обладнання</w:t>
      </w:r>
      <w:r w:rsidR="00B92499" w:rsidRPr="00797CD9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364CA6" w:rsidRPr="00797CD9" w:rsidRDefault="00364CA6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highlight w:val="lightGray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Цей Технічний регламент розроблено на основі Регламенту Комісії (ЄС) 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>№</w:t>
      </w:r>
      <w:r w:rsidR="002204EF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81</w:t>
      </w:r>
      <w:r w:rsidR="008D30DA" w:rsidRPr="00797CD9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2D4DEB" w:rsidRPr="00797CD9">
        <w:rPr>
          <w:spacing w:val="0"/>
          <w:kern w:val="0"/>
          <w:position w:val="0"/>
          <w:sz w:val="28"/>
          <w:szCs w:val="28"/>
          <w:lang w:val="uk-UA"/>
        </w:rPr>
        <w:t>/201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від 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серпня</w:t>
      </w:r>
      <w:r w:rsidR="002D4DEB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201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року</w:t>
      </w:r>
      <w:r w:rsidR="00830E67" w:rsidRPr="00797CD9">
        <w:rPr>
          <w:spacing w:val="0"/>
          <w:kern w:val="0"/>
          <w:position w:val="0"/>
          <w:sz w:val="28"/>
          <w:szCs w:val="28"/>
          <w:lang w:val="uk-UA"/>
        </w:rPr>
        <w:t>, що доповнює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830E67" w:rsidRPr="00797CD9">
        <w:rPr>
          <w:spacing w:val="0"/>
          <w:kern w:val="0"/>
          <w:position w:val="0"/>
          <w:sz w:val="28"/>
          <w:szCs w:val="28"/>
          <w:lang w:val="uk-UA"/>
        </w:rPr>
        <w:t>Директиву</w:t>
      </w:r>
      <w:r w:rsidR="00405857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2009/125/Є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>C Європейського Парламенту та Ради</w:t>
      </w:r>
      <w:r w:rsidR="00387C21">
        <w:rPr>
          <w:spacing w:val="0"/>
          <w:kern w:val="0"/>
          <w:position w:val="0"/>
          <w:sz w:val="28"/>
          <w:szCs w:val="28"/>
          <w:lang w:val="uk-UA"/>
        </w:rPr>
        <w:t>,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204EF" w:rsidRPr="00797CD9">
        <w:rPr>
          <w:spacing w:val="0"/>
          <w:kern w:val="0"/>
          <w:position w:val="0"/>
          <w:sz w:val="28"/>
          <w:szCs w:val="28"/>
          <w:lang w:val="uk-UA"/>
        </w:rPr>
        <w:t>стосовно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вимог </w:t>
      </w:r>
      <w:r w:rsidR="002204EF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щодо </w:t>
      </w:r>
      <w:r w:rsidR="00405857" w:rsidRPr="00797CD9">
        <w:rPr>
          <w:spacing w:val="0"/>
          <w:kern w:val="0"/>
          <w:position w:val="0"/>
          <w:sz w:val="28"/>
          <w:szCs w:val="28"/>
          <w:lang w:val="uk-UA"/>
        </w:rPr>
        <w:t>екодизайну для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EF0655" w:rsidRPr="00797CD9">
        <w:rPr>
          <w:spacing w:val="0"/>
          <w:kern w:val="0"/>
          <w:position w:val="0"/>
          <w:sz w:val="28"/>
          <w:szCs w:val="28"/>
          <w:lang w:val="uk-UA"/>
        </w:rPr>
        <w:t>обігрівачів приміщень та комбінованих обігрівачів</w:t>
      </w:r>
      <w:r w:rsidR="006B733B" w:rsidRPr="00797CD9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6B733B" w:rsidRPr="00797CD9" w:rsidRDefault="006B733B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2. Дія цього Технічного регламенту </w:t>
      </w:r>
      <w:r w:rsidR="00851F16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не 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>поширюється на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:</w:t>
      </w:r>
    </w:p>
    <w:p w:rsidR="00284ABC" w:rsidRPr="00797CD9" w:rsidRDefault="00EF0655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>обігрівачі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, розроблені для використання газоподібного або рідкого палива, виробленого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>,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в основному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>,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з біомаси;</w:t>
      </w:r>
    </w:p>
    <w:p w:rsidR="00284ABC" w:rsidRPr="00797CD9" w:rsidRDefault="00EF0655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>обігрівачі</w:t>
      </w:r>
      <w:r w:rsidR="00284ABC" w:rsidRPr="00797CD9">
        <w:rPr>
          <w:spacing w:val="0"/>
          <w:kern w:val="0"/>
          <w:position w:val="0"/>
          <w:sz w:val="28"/>
          <w:szCs w:val="28"/>
          <w:lang w:val="uk-UA"/>
        </w:rPr>
        <w:t>, що працюють на твердих видах палива;</w:t>
      </w:r>
    </w:p>
    <w:p w:rsidR="00333528" w:rsidRPr="00797CD9" w:rsidRDefault="003E05E1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>водопідігрівачів</w:t>
      </w:r>
      <w:r w:rsidR="00333528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, що виробляють тепло тільки для забезпечення 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постачання </w:t>
      </w:r>
      <w:r w:rsidR="00333528" w:rsidRPr="00797CD9">
        <w:rPr>
          <w:spacing w:val="0"/>
          <w:kern w:val="0"/>
          <w:position w:val="0"/>
          <w:sz w:val="28"/>
          <w:szCs w:val="28"/>
          <w:lang w:val="uk-UA"/>
        </w:rPr>
        <w:t>гаряч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>ої</w:t>
      </w:r>
      <w:r w:rsidR="00333528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води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>,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для 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санітарно-гігієнічних </w:t>
      </w:r>
      <w:r w:rsidR="00315755" w:rsidRPr="00797CD9">
        <w:rPr>
          <w:spacing w:val="0"/>
          <w:kern w:val="0"/>
          <w:position w:val="0"/>
          <w:sz w:val="28"/>
          <w:szCs w:val="28"/>
          <w:lang w:val="uk-UA"/>
        </w:rPr>
        <w:t>та господарсько-побутових</w:t>
      </w:r>
      <w:r w:rsidR="00333528"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потреб;</w:t>
      </w:r>
    </w:p>
    <w:p w:rsidR="009F32BA" w:rsidRPr="00797CD9" w:rsidRDefault="003E05E1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>водопідігрівачів</w:t>
      </w:r>
      <w:r w:rsidR="009F32BA" w:rsidRPr="00797CD9">
        <w:rPr>
          <w:spacing w:val="0"/>
          <w:kern w:val="0"/>
          <w:position w:val="0"/>
          <w:sz w:val="28"/>
          <w:szCs w:val="28"/>
          <w:lang w:val="uk-UA"/>
        </w:rPr>
        <w:t>, призначені для нагріву та розподілу тепла за допомогою газоподібного теплоносія, такого як пара або повітря;</w:t>
      </w:r>
    </w:p>
    <w:p w:rsidR="009E67AC" w:rsidRPr="00797CD9" w:rsidRDefault="009E67AC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>когенераційні обігрівачі приміщень з максимальною електричною потужністю 50 кВт або вище;</w:t>
      </w:r>
    </w:p>
    <w:p w:rsidR="00377105" w:rsidRDefault="009E67AC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теплогенератори, </w:t>
      </w:r>
      <w:r w:rsidRPr="00D747A6">
        <w:rPr>
          <w:spacing w:val="0"/>
          <w:kern w:val="0"/>
          <w:position w:val="0"/>
          <w:sz w:val="28"/>
          <w:szCs w:val="28"/>
          <w:lang w:val="uk-UA"/>
        </w:rPr>
        <w:t>призначені для оснащення ними обігрівачів та корпусів обігрівачів, розміщених на ринку до 1 січня 2024 року</w:t>
      </w:r>
      <w:r w:rsidRPr="00797CD9">
        <w:rPr>
          <w:spacing w:val="0"/>
          <w:kern w:val="0"/>
          <w:position w:val="0"/>
          <w:sz w:val="28"/>
          <w:szCs w:val="28"/>
          <w:lang w:val="uk-UA"/>
        </w:rPr>
        <w:t xml:space="preserve"> для заміни теплогенераторів та корпусів обігрівачів того самого типу. На змінному виробі або його упаковці має бути чітко вказаний обігрівач, для якого він призначений.</w:t>
      </w:r>
    </w:p>
    <w:p w:rsidR="00364CA6" w:rsidRPr="00797CD9" w:rsidRDefault="005D2E8D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lastRenderedPageBreak/>
        <w:t>3</w:t>
      </w:r>
      <w:r w:rsidR="00364CA6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. У цьому Технічному регламенті терміни вживаються в такому значенні: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біомаса – придатні для біологічного розкладання частки продукції, відходів і залишків біологічного походження в сільському господарстві (у тому числі рослинних і тваринних речовин), лісовому господарстві та суміжних галузях, включаючи рибальство та аквакультуру, а також придатна для біологічного розкладання частка промислових та побутових відходів;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викопне паливо – рідке або газоподібне паливо викопного органічного походження;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додатковий обігрівач – неосновний обігрівач, що генерує тепло у випадках, коли теплове навантаження перевищує номінальну</w:t>
      </w:r>
      <w:r w:rsidR="00B3484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теплову потужність основного обі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грівача;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енергоефективність (ККД) нагріву води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wh</m:t>
            </m:r>
          </m:sub>
        </m:sSub>
      </m:oMath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) – відношення корисної енергії </w:t>
      </w:r>
      <w:r w:rsidR="002675D6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у питній воді для забезпечення питних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або для санітарних потреб, що забезпечує комбінований обігрівач, та енергії, необхідної для її генерації, виражене у відсотках;</w:t>
      </w:r>
    </w:p>
    <w:p w:rsidR="00315755" w:rsidRPr="00797CD9" w:rsidRDefault="00315755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електричний комбінований котельний обігрівач – комбінований котельний обігрівач, що виробляє тепло лише за допомогою використання термоефекту Джоуля в нагрівальних елементах електричного опору;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електричний котельний обігрівач приміщень – котельний обігрівач приміщень, що виробляє тепло лише за допомогою використання термоефекту Джоуля в нагрівальних елементах електричного опору;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когенераційний обігрівач приміщень – обігрівач приміщень, який одночасно виробля</w:t>
      </w:r>
      <w:r w:rsidR="00B3484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є тепло та електроенергію під час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одного процесу;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коефіцієнт перетворення (</w:t>
      </w:r>
      <w:r w:rsidRPr="00797CD9">
        <w:rPr>
          <w:i/>
          <w:color w:val="000000"/>
          <w:spacing w:val="0"/>
          <w:kern w:val="0"/>
          <w:position w:val="0"/>
          <w:sz w:val="28"/>
          <w:szCs w:val="28"/>
          <w:lang w:val="uk-UA"/>
        </w:rPr>
        <w:t>СС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) – коефіцієнт, який відображає проектну середню ефективність виробництва енергії на рівні 40%, визначену у Директиві 2012/27/ЄС </w:t>
      </w:r>
      <w:r w:rsidR="00B3484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Європейського парламенту та Ради від 25.10.2012</w:t>
      </w:r>
      <w:r w:rsidR="00387C21">
        <w:rPr>
          <w:color w:val="000000"/>
          <w:spacing w:val="0"/>
          <w:kern w:val="0"/>
          <w:position w:val="0"/>
          <w:sz w:val="28"/>
          <w:szCs w:val="28"/>
          <w:lang w:val="uk-UA"/>
        </w:rPr>
        <w:t>,</w:t>
      </w:r>
      <w:r w:rsidR="00B3484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387C21">
        <w:rPr>
          <w:color w:val="000000"/>
          <w:spacing w:val="0"/>
          <w:kern w:val="0"/>
          <w:position w:val="0"/>
          <w:sz w:val="28"/>
          <w:szCs w:val="28"/>
          <w:lang w:val="uk-UA"/>
        </w:rPr>
        <w:br/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про енергоефективність, значення коефіцієнту перетворення </w:t>
      </w:r>
      <w:r w:rsidRPr="00797CD9">
        <w:rPr>
          <w:i/>
          <w:color w:val="000000"/>
          <w:spacing w:val="0"/>
          <w:kern w:val="0"/>
          <w:position w:val="0"/>
          <w:sz w:val="28"/>
          <w:szCs w:val="28"/>
          <w:lang w:val="uk-UA"/>
        </w:rPr>
        <w:t>CC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= 2,5;</w:t>
      </w:r>
    </w:p>
    <w:p w:rsidR="00B3484D" w:rsidRPr="00797CD9" w:rsidRDefault="00B3484D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комбінований котельний обігрівач – котельний обігрівач приміщення, який також призначений для забезпечення тепла для постачання гарячої води та санітарних потреб при заданій температурі, об’ємах та подачі в певні проміжки часу, і який під’єднаний до зовнішнього джерела питної води або води для санітарних потреб;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комбінований обігрівач – обігрівач приміщення, призначений також для забезпечення поста</w:t>
      </w:r>
      <w:r w:rsidR="00B3484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чання гарячої води для санітарно-гігієнічних та господарсько-побутових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потреб при заданій температурі, об’ємах та подачі в певні проміжки часу, і який під’єднаний до зовнішнього джерела питної води або води для санітарних потреб;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lastRenderedPageBreak/>
        <w:t xml:space="preserve">комбінований обігрівач на основі теплового насосу – обігрівач приміщень на основі теплового насосу, який також призначений для забезпечення тепла для постачання гарячої води </w:t>
      </w:r>
      <w:r w:rsidR="002675D6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для забезпечення питних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та санітарних потреб при заданій температурі, об’ємах та подачі в певні проміжки часу і під’єднаний до зовнішнього джерела питної води або води для санітарних потреб;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корпус обігрівача – частина обігрівача, призначена для встановлення в ній теплогенератора;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котельний обігрівач приміщення – обігрівач приміщень, який генерує тепло за рахунок спалювання викопного палива та/або палива з біомаси та/або за рахунок використання термоефекту Джоуля в нагрівальних елементах</w:t>
      </w:r>
      <w:r w:rsidR="00240F7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електричного опору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;</w:t>
      </w:r>
    </w:p>
    <w:p w:rsidR="00CB403A" w:rsidRPr="00797CD9" w:rsidRDefault="00CB403A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номінальна теплова потужність 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</w:rPr>
              <m:t>rated</m:t>
            </m:r>
          </m:sub>
        </m:sSub>
      </m:oMath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– заявлена теплова потужність обігрівача, виражена в кВт, при </w:t>
      </w:r>
      <w:r w:rsidR="007E320A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обігріві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приміщень і, у відповідних випадках, нагріванні води при стандартних номінальних умовах випробувань; стандартними номінальними умовами випробувань для визначення номінальної теплової потужності обігрівачів приміщення на основі теплових насосів та комбінованих обігрівачів на основі теплових насосів є стандартні номінальні умови, зазначені у таблиці 4 додатку 3;</w:t>
      </w:r>
    </w:p>
    <w:p w:rsidR="00F80141" w:rsidRPr="00797CD9" w:rsidRDefault="00F80141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обігрівач – обігрівач приміщення або комбінований обігрівач;</w:t>
      </w:r>
    </w:p>
    <w:p w:rsidR="00F80141" w:rsidRPr="00797CD9" w:rsidRDefault="00096144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обігрівач приміщення </w:t>
      </w:r>
      <w:r w:rsidR="00DE5758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– прилад, який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забез</w:t>
      </w:r>
      <w:r w:rsidR="00E448C5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печує тепло для системи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центрального </w:t>
      </w:r>
      <w:r w:rsidR="002675D6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водяного 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опалення для досягнення і підтримання бажаного рівня температури в замкн</w:t>
      </w:r>
      <w:r w:rsidR="00A34214">
        <w:rPr>
          <w:color w:val="000000"/>
          <w:spacing w:val="0"/>
          <w:kern w:val="0"/>
          <w:position w:val="0"/>
          <w:sz w:val="28"/>
          <w:szCs w:val="28"/>
          <w:lang w:val="uk-UA"/>
        </w:rPr>
        <w:t>еному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просторі, наприкла</w:t>
      </w:r>
      <w:r w:rsidR="00DE5758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д, будівлі, будинку або кімнаті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та оснащений одним або кількома теплогенераторами;</w:t>
      </w:r>
    </w:p>
    <w:p w:rsidR="002F5173" w:rsidRPr="00797CD9" w:rsidRDefault="002F5173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обігрівач приміщень на основі теплового насосу – обігрівач приміщень, який використовує тепло з навколишнього </w:t>
      </w:r>
      <w:r w:rsidR="009A571A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природного 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середовища ˗ з повітря, води або землі та/або вторинної теплової енергії для генерації тепла; обігрівач приміщень на основі теплового насосу може мати один або більше додаткових обігрівачів, що використовують термоефект Джоуля в </w:t>
      </w:r>
      <w:r w:rsidRPr="00D747A6">
        <w:rPr>
          <w:color w:val="000000"/>
          <w:spacing w:val="0"/>
          <w:kern w:val="0"/>
          <w:position w:val="0"/>
          <w:sz w:val="28"/>
          <w:szCs w:val="28"/>
          <w:lang w:val="uk-UA"/>
        </w:rPr>
        <w:t>нагрівальних елементах електричного опору або спалюють викопні види палива та/або паливо з біомаси;</w:t>
      </w:r>
    </w:p>
    <w:p w:rsidR="002F5173" w:rsidRPr="00797CD9" w:rsidRDefault="002F5173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паливо з біомаси – рідке або газоподібне паливо, вироблене з біомаси;</w:t>
      </w:r>
    </w:p>
    <w:p w:rsidR="002F5173" w:rsidRPr="00797CD9" w:rsidRDefault="002F5173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рівень звукової потужності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L</m:t>
            </m:r>
          </m:e>
          <m:sub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WA</m:t>
            </m:r>
          </m:sub>
        </m:sSub>
      </m:oMath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) – зважений по кривій A рівень звукової потужності в приміщенні та/або на відкритому повітрі, виражений в дБ;</w:t>
      </w:r>
    </w:p>
    <w:p w:rsidR="002F5173" w:rsidRPr="00797CD9" w:rsidRDefault="002F5173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сезонна енергоефективність (ККД) обігріву приміщень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hAnsi="Cambria Math"/>
                <w:color w:val="000000"/>
                <w:spacing w:val="0"/>
                <w:kern w:val="0"/>
                <w:position w:val="0"/>
                <w:sz w:val="28"/>
                <w:szCs w:val="28"/>
              </w:rPr>
              <m:t>s</m:t>
            </m:r>
          </m:sub>
        </m:sSub>
      </m:oMath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) – співвідношення між тепловим навантаженням обігрівача для визначеного </w:t>
      </w:r>
      <w:r w:rsidR="002675D6" w:rsidRPr="00A60E79">
        <w:rPr>
          <w:color w:val="000000"/>
          <w:spacing w:val="0"/>
          <w:kern w:val="0"/>
          <w:position w:val="0"/>
          <w:sz w:val="28"/>
          <w:szCs w:val="28"/>
          <w:lang w:val="uk-UA"/>
        </w:rPr>
        <w:lastRenderedPageBreak/>
        <w:t>опалювального періоду</w:t>
      </w:r>
      <w:r w:rsidRPr="00A60E7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та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річним споживання енергії, необхідної для задоволення цього навантаження, виражене у відсотках;</w:t>
      </w:r>
    </w:p>
    <w:p w:rsidR="002F5173" w:rsidRPr="00797CD9" w:rsidRDefault="002F5173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стандартні номінальні умови випробувань – умови роботи обігрівачів у типових кліматичних умовах, що використовуються для визначення номінальної теплової потужності, сезонної енергоефективності обігріву приміщень, енергоефективності нагріву води, а також рівня звукової потужності і викидів оксидів азоту;</w:t>
      </w:r>
    </w:p>
    <w:p w:rsidR="00673A57" w:rsidRPr="00797CD9" w:rsidRDefault="00096144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система вод</w:t>
      </w:r>
      <w:r w:rsidR="00240F7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я</w:t>
      </w:r>
      <w:r w:rsidR="00673A57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ного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центрального опалення – система, що використовує воду в якості теплоносія, за допомогою якого централізовано згенероване тепло подається до опалювальних приладів для обігріву будівель або їх частин;</w:t>
      </w:r>
    </w:p>
    <w:p w:rsidR="00673A57" w:rsidRPr="00797CD9" w:rsidRDefault="00673A57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теплогенератор – та частина обігрівача, яка виробляє тепло за допомогою одного або декількох процесів:</w:t>
      </w:r>
    </w:p>
    <w:p w:rsidR="00673A57" w:rsidRPr="00797CD9" w:rsidRDefault="00673A57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спалювання викопних видів палива та/або палива, що отримується з біомаси;</w:t>
      </w:r>
    </w:p>
    <w:p w:rsidR="00673A57" w:rsidRPr="00797CD9" w:rsidRDefault="00673A57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використання термоефекту Джоуля в нагрівальних елементах</w:t>
      </w:r>
      <w:r w:rsidR="00240F7D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електричного опору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;</w:t>
      </w:r>
    </w:p>
    <w:p w:rsidR="00673A57" w:rsidRPr="00797CD9" w:rsidRDefault="00673A57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захоплення тепла з навколишнього середови</w:t>
      </w:r>
      <w:r w:rsidR="00F94878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ща ˗ з повітря, води або землі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та/або вторинної теплової енергії;</w:t>
      </w:r>
    </w:p>
    <w:p w:rsidR="00673A57" w:rsidRDefault="00881AE0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Т</w:t>
      </w:r>
      <w:r w:rsidR="00673A57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еплогенератор, </w:t>
      </w:r>
      <w:r w:rsidR="00C22CB9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розроблений</w:t>
      </w:r>
      <w:r w:rsidR="00673A57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 для обігрівача, і корпус обігрівача, </w:t>
      </w:r>
      <w:r w:rsidR="00C22CB9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 xml:space="preserve">який </w:t>
      </w:r>
      <w:r w:rsidR="00673A57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призначений для оснащення таким теплогенераторо</w:t>
      </w:r>
      <w:r w:rsidR="00DE5758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м, також вважається обігрівачем.</w:t>
      </w:r>
    </w:p>
    <w:p w:rsidR="00A102FF" w:rsidRDefault="00A102FF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З метою зручності застосування додатків 2 ˗ 5, в додатку 1 наведені додаткові визначення.</w:t>
      </w:r>
    </w:p>
    <w:p w:rsidR="001917D8" w:rsidRPr="00797CD9" w:rsidRDefault="00E03822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Інші терміни вжива</w:t>
      </w:r>
      <w:r w:rsidR="00A34214">
        <w:rPr>
          <w:color w:val="000000"/>
          <w:spacing w:val="0"/>
          <w:kern w:val="0"/>
          <w:position w:val="0"/>
          <w:sz w:val="28"/>
          <w:szCs w:val="28"/>
          <w:lang w:val="uk-UA"/>
        </w:rPr>
        <w:t>ються у значенні, наведеному в з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аконах України «Про технічні регламенти та оцінку відповідності», «Про державний ринковий нагляд і контроль нехарчової продукції», «Про стандартизацію», та Технічному регламенті щодо встановлення системи для визначення вимог з екодизайну енергоспоживчих продуктів, затвердженому постановою К</w:t>
      </w:r>
      <w:r w:rsidR="00D50BDB"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абінету Міністрів України від 03 жовтня 2018 р. № 804 (Офіційний вісник України, 2018 р., № 80</w:t>
      </w:r>
      <w:r w:rsidR="00E00D9F">
        <w:rPr>
          <w:color w:val="000000"/>
          <w:spacing w:val="0"/>
          <w:kern w:val="0"/>
          <w:position w:val="0"/>
          <w:sz w:val="28"/>
          <w:szCs w:val="28"/>
          <w:lang w:val="uk-UA"/>
        </w:rPr>
        <w:t>, ст. 2678</w:t>
      </w:r>
      <w:r w:rsidRPr="00797CD9">
        <w:rPr>
          <w:color w:val="000000"/>
          <w:spacing w:val="0"/>
          <w:kern w:val="0"/>
          <w:position w:val="0"/>
          <w:sz w:val="28"/>
          <w:szCs w:val="28"/>
          <w:lang w:val="uk-UA"/>
        </w:rPr>
        <w:t>).</w:t>
      </w:r>
    </w:p>
    <w:p w:rsidR="00377105" w:rsidRPr="00A102FF" w:rsidRDefault="00377105" w:rsidP="00377105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5"/>
        <w:jc w:val="both"/>
        <w:rPr>
          <w:color w:val="000000"/>
          <w:spacing w:val="0"/>
          <w:kern w:val="0"/>
          <w:position w:val="0"/>
          <w:sz w:val="28"/>
          <w:szCs w:val="28"/>
          <w:lang w:val="uk-UA"/>
        </w:rPr>
      </w:pPr>
    </w:p>
    <w:p w:rsidR="00364CA6" w:rsidRPr="00A102FF" w:rsidRDefault="00364CA6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425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A102FF">
        <w:rPr>
          <w:b/>
          <w:spacing w:val="0"/>
          <w:kern w:val="0"/>
          <w:position w:val="0"/>
          <w:sz w:val="28"/>
          <w:szCs w:val="28"/>
          <w:lang w:val="uk-UA"/>
        </w:rPr>
        <w:t>Вимоги до екодизайну</w:t>
      </w:r>
    </w:p>
    <w:p w:rsidR="00813BEE" w:rsidRPr="0083526E" w:rsidRDefault="00813BEE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4. </w:t>
      </w:r>
      <w:r w:rsidR="00DD4120" w:rsidRPr="0083526E">
        <w:rPr>
          <w:spacing w:val="0"/>
          <w:kern w:val="0"/>
          <w:position w:val="0"/>
          <w:sz w:val="28"/>
          <w:szCs w:val="28"/>
          <w:lang w:val="uk-UA"/>
        </w:rPr>
        <w:t>В</w:t>
      </w:r>
      <w:r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имоги </w:t>
      </w:r>
      <w:r w:rsidR="00963F2B"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до </w:t>
      </w:r>
      <w:r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екодизайну для </w:t>
      </w:r>
      <w:r w:rsidR="0083526E" w:rsidRPr="0083526E">
        <w:rPr>
          <w:spacing w:val="0"/>
          <w:kern w:val="0"/>
          <w:position w:val="0"/>
          <w:sz w:val="28"/>
          <w:szCs w:val="28"/>
          <w:lang w:val="uk-UA"/>
        </w:rPr>
        <w:t>обігрівачів</w:t>
      </w:r>
      <w:r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A34214">
        <w:rPr>
          <w:spacing w:val="0"/>
          <w:kern w:val="0"/>
          <w:position w:val="0"/>
          <w:sz w:val="28"/>
          <w:szCs w:val="28"/>
          <w:lang w:val="uk-UA"/>
        </w:rPr>
        <w:t>нав</w:t>
      </w:r>
      <w:bookmarkStart w:id="0" w:name="_GoBack"/>
      <w:bookmarkEnd w:id="0"/>
      <w:r w:rsidR="00A34214">
        <w:rPr>
          <w:spacing w:val="0"/>
          <w:kern w:val="0"/>
          <w:position w:val="0"/>
          <w:sz w:val="28"/>
          <w:szCs w:val="28"/>
          <w:lang w:val="uk-UA"/>
        </w:rPr>
        <w:t>едено</w:t>
      </w:r>
      <w:r w:rsidR="00AF6772"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 у д</w:t>
      </w:r>
      <w:r w:rsidR="00270179" w:rsidRPr="0083526E">
        <w:rPr>
          <w:spacing w:val="0"/>
          <w:kern w:val="0"/>
          <w:position w:val="0"/>
          <w:sz w:val="28"/>
          <w:szCs w:val="28"/>
          <w:lang w:val="uk-UA"/>
        </w:rPr>
        <w:t xml:space="preserve">одатку </w:t>
      </w:r>
      <w:r w:rsidR="00DD4120" w:rsidRPr="0083526E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797CD9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164094" w:rsidRPr="0083526E" w:rsidRDefault="00164094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83526E">
        <w:rPr>
          <w:spacing w:val="0"/>
          <w:kern w:val="0"/>
          <w:position w:val="0"/>
          <w:sz w:val="28"/>
          <w:szCs w:val="28"/>
          <w:lang w:val="uk-UA"/>
        </w:rPr>
        <w:t>Вимоги до екодизайну повинні застосовуватися згідно з таким графіком:</w:t>
      </w:r>
    </w:p>
    <w:p w:rsidR="00DD4120" w:rsidRPr="0083526E" w:rsidRDefault="00797CD9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1) </w:t>
      </w:r>
      <w:r w:rsidR="00164094" w:rsidRPr="0083526E">
        <w:rPr>
          <w:spacing w:val="0"/>
          <w:kern w:val="0"/>
          <w:position w:val="0"/>
          <w:sz w:val="28"/>
          <w:szCs w:val="28"/>
          <w:lang w:val="uk-UA"/>
        </w:rPr>
        <w:t>ч</w:t>
      </w:r>
      <w:r w:rsidR="00DD4120" w:rsidRPr="0083526E">
        <w:rPr>
          <w:spacing w:val="0"/>
          <w:kern w:val="0"/>
          <w:position w:val="0"/>
          <w:sz w:val="28"/>
          <w:szCs w:val="28"/>
          <w:lang w:val="uk-UA"/>
        </w:rPr>
        <w:t>ерез 2 роки з дати набрання чинності цим Технічним регламентом:</w:t>
      </w:r>
    </w:p>
    <w:p w:rsidR="00DD4120" w:rsidRPr="0083526E" w:rsidRDefault="0083526E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A15AFB">
        <w:rPr>
          <w:spacing w:val="0"/>
          <w:kern w:val="0"/>
          <w:position w:val="0"/>
          <w:sz w:val="28"/>
          <w:szCs w:val="28"/>
          <w:lang w:val="uk-UA"/>
        </w:rPr>
        <w:t>обігрівачі</w:t>
      </w:r>
      <w:r w:rsidR="00DD4120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 повинні відповідати вимогам, викладеним у 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>під</w:t>
      </w:r>
      <w:r w:rsidR="00DD4120" w:rsidRPr="00A15AFB">
        <w:rPr>
          <w:spacing w:val="0"/>
          <w:kern w:val="0"/>
          <w:position w:val="0"/>
          <w:sz w:val="28"/>
          <w:szCs w:val="28"/>
          <w:lang w:val="uk-UA"/>
        </w:rPr>
        <w:t>пункт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>і</w:t>
      </w:r>
      <w:r w:rsidR="007C5363">
        <w:rPr>
          <w:spacing w:val="0"/>
          <w:kern w:val="0"/>
          <w:position w:val="0"/>
          <w:sz w:val="28"/>
          <w:szCs w:val="28"/>
          <w:lang w:val="uk-UA"/>
        </w:rPr>
        <w:t> </w:t>
      </w:r>
      <w:r w:rsidR="00302908" w:rsidRPr="00A15AFB">
        <w:rPr>
          <w:spacing w:val="0"/>
          <w:kern w:val="0"/>
          <w:position w:val="0"/>
          <w:sz w:val="28"/>
          <w:szCs w:val="28"/>
          <w:lang w:val="uk-UA"/>
        </w:rPr>
        <w:t>1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lastRenderedPageBreak/>
        <w:t>пункту</w:t>
      </w:r>
      <w:r w:rsidR="007C5363">
        <w:rPr>
          <w:spacing w:val="0"/>
          <w:kern w:val="0"/>
          <w:position w:val="0"/>
          <w:sz w:val="28"/>
          <w:szCs w:val="28"/>
          <w:lang w:val="uk-UA"/>
        </w:rPr>
        <w:t> 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>1</w:t>
      </w:r>
      <w:r w:rsidR="00302908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, 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 xml:space="preserve">пунктах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3 та 5 </w:t>
      </w:r>
      <w:r w:rsidR="00302908" w:rsidRPr="00A15AFB">
        <w:rPr>
          <w:spacing w:val="0"/>
          <w:kern w:val="0"/>
          <w:position w:val="0"/>
          <w:sz w:val="28"/>
          <w:szCs w:val="28"/>
          <w:lang w:val="uk-UA"/>
        </w:rPr>
        <w:t>д</w:t>
      </w:r>
      <w:r w:rsidR="00DD4120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одатку </w:t>
      </w:r>
      <w:r w:rsidR="00302908" w:rsidRPr="00A15AFB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DD4120" w:rsidRPr="00A15AFB">
        <w:rPr>
          <w:spacing w:val="0"/>
          <w:kern w:val="0"/>
          <w:position w:val="0"/>
          <w:sz w:val="28"/>
          <w:szCs w:val="28"/>
          <w:lang w:val="uk-UA"/>
        </w:rPr>
        <w:t>;</w:t>
      </w:r>
    </w:p>
    <w:p w:rsidR="0083526E" w:rsidRDefault="0083526E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83526E">
        <w:rPr>
          <w:spacing w:val="0"/>
          <w:kern w:val="0"/>
          <w:position w:val="0"/>
          <w:sz w:val="28"/>
          <w:szCs w:val="28"/>
          <w:lang w:val="uk-UA"/>
        </w:rPr>
        <w:t>комбіновані обігрівачі повинні від</w:t>
      </w:r>
      <w:r>
        <w:rPr>
          <w:spacing w:val="0"/>
          <w:kern w:val="0"/>
          <w:position w:val="0"/>
          <w:sz w:val="28"/>
          <w:szCs w:val="28"/>
          <w:lang w:val="uk-UA"/>
        </w:rPr>
        <w:t xml:space="preserve">повідати вимогам,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викладеним у </w:t>
      </w:r>
      <w:r w:rsidR="00B67D14">
        <w:rPr>
          <w:spacing w:val="0"/>
          <w:kern w:val="0"/>
          <w:position w:val="0"/>
          <w:sz w:val="28"/>
          <w:szCs w:val="28"/>
          <w:lang w:val="uk-UA"/>
        </w:rPr>
        <w:t>під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пункті</w:t>
      </w:r>
      <w:r w:rsidR="007C5363">
        <w:rPr>
          <w:spacing w:val="0"/>
          <w:kern w:val="0"/>
          <w:position w:val="0"/>
          <w:sz w:val="28"/>
          <w:szCs w:val="28"/>
          <w:lang w:val="uk-UA"/>
        </w:rPr>
        <w:t> </w:t>
      </w:r>
      <w:r w:rsidR="00C90B1D">
        <w:rPr>
          <w:spacing w:val="0"/>
          <w:kern w:val="0"/>
          <w:position w:val="0"/>
          <w:sz w:val="28"/>
          <w:szCs w:val="28"/>
          <w:lang w:val="uk-UA"/>
        </w:rPr>
        <w:t xml:space="preserve">1 пункту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A15AF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додатку 2;</w:t>
      </w:r>
    </w:p>
    <w:p w:rsidR="00302908" w:rsidRPr="00E37A63" w:rsidRDefault="00164094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E37A63">
        <w:rPr>
          <w:spacing w:val="0"/>
          <w:kern w:val="0"/>
          <w:position w:val="0"/>
          <w:sz w:val="28"/>
          <w:szCs w:val="28"/>
          <w:lang w:val="uk-UA"/>
        </w:rPr>
        <w:t>ч</w:t>
      </w:r>
      <w:r w:rsidR="00302908" w:rsidRPr="00E37A63">
        <w:rPr>
          <w:spacing w:val="0"/>
          <w:kern w:val="0"/>
          <w:position w:val="0"/>
          <w:sz w:val="28"/>
          <w:szCs w:val="28"/>
          <w:lang w:val="uk-UA"/>
        </w:rPr>
        <w:t>ерез 4 роки з дати набрання чинності цим Технічним регламентом:</w:t>
      </w:r>
    </w:p>
    <w:p w:rsidR="00302908" w:rsidRPr="008D30DA" w:rsidRDefault="00E37A63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highlight w:val="lightGray"/>
          <w:lang w:val="uk-UA"/>
        </w:rPr>
      </w:pPr>
      <w:r w:rsidRPr="00E37A63">
        <w:rPr>
          <w:spacing w:val="0"/>
          <w:kern w:val="0"/>
          <w:position w:val="0"/>
          <w:sz w:val="28"/>
          <w:szCs w:val="28"/>
          <w:lang w:val="uk-UA"/>
        </w:rPr>
        <w:t xml:space="preserve">електричні обігрівачі приміщень, електричні комбіновані обігрівачі, когенераційні обігрівачі приміщень, обігрівачі приміщень на основі теплових насосів та комбіновані обігрівачі на основі теплових насосів повинні відповідати вимогам, викладеним у </w:t>
      </w:r>
      <w:r w:rsidR="00B67D14">
        <w:rPr>
          <w:spacing w:val="0"/>
          <w:kern w:val="0"/>
          <w:position w:val="0"/>
          <w:sz w:val="28"/>
          <w:szCs w:val="28"/>
          <w:lang w:val="uk-UA"/>
        </w:rPr>
        <w:t>під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пункті </w:t>
      </w:r>
      <w:r w:rsidR="00C90B1D">
        <w:rPr>
          <w:spacing w:val="0"/>
          <w:kern w:val="0"/>
          <w:position w:val="0"/>
          <w:sz w:val="28"/>
          <w:szCs w:val="28"/>
          <w:lang w:val="uk-UA"/>
        </w:rPr>
        <w:t xml:space="preserve">2 пункту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1</w:t>
      </w:r>
      <w:r w:rsidR="00A15AF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додатку 2</w:t>
      </w:r>
      <w:r w:rsidR="00302908" w:rsidRPr="00A15AFB">
        <w:rPr>
          <w:spacing w:val="0"/>
          <w:kern w:val="0"/>
          <w:position w:val="0"/>
          <w:sz w:val="28"/>
          <w:szCs w:val="28"/>
          <w:lang w:val="uk-UA"/>
        </w:rPr>
        <w:t>;</w:t>
      </w:r>
    </w:p>
    <w:p w:rsidR="00302908" w:rsidRPr="008D30DA" w:rsidRDefault="00E37A63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highlight w:val="lightGray"/>
          <w:lang w:val="uk-UA"/>
        </w:rPr>
      </w:pPr>
      <w:r w:rsidRPr="00E37A63">
        <w:rPr>
          <w:spacing w:val="0"/>
          <w:kern w:val="0"/>
          <w:position w:val="0"/>
          <w:sz w:val="28"/>
          <w:szCs w:val="28"/>
          <w:lang w:val="uk-UA"/>
        </w:rPr>
        <w:t xml:space="preserve">комбіновані обігрівачі повинні відповідати вимогам, викладеним у 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>під</w:t>
      </w:r>
      <w:r w:rsidRPr="00E37A63">
        <w:rPr>
          <w:spacing w:val="0"/>
          <w:kern w:val="0"/>
          <w:position w:val="0"/>
          <w:sz w:val="28"/>
          <w:szCs w:val="28"/>
          <w:lang w:val="uk-UA"/>
        </w:rPr>
        <w:t xml:space="preserve">пункті 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A15AF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>пункту 2</w:t>
      </w:r>
      <w:r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 додатку 2</w:t>
      </w:r>
      <w:r w:rsidR="00164094" w:rsidRPr="00A15AFB">
        <w:rPr>
          <w:spacing w:val="0"/>
          <w:kern w:val="0"/>
          <w:position w:val="0"/>
          <w:sz w:val="28"/>
          <w:szCs w:val="28"/>
          <w:lang w:val="uk-UA"/>
        </w:rPr>
        <w:t>;</w:t>
      </w:r>
    </w:p>
    <w:p w:rsidR="00302908" w:rsidRPr="002675D6" w:rsidRDefault="00797CD9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2) </w:t>
      </w:r>
      <w:r w:rsidR="00164094" w:rsidRPr="00E37A63">
        <w:rPr>
          <w:spacing w:val="0"/>
          <w:kern w:val="0"/>
          <w:position w:val="0"/>
          <w:sz w:val="28"/>
          <w:szCs w:val="28"/>
          <w:lang w:val="uk-UA"/>
        </w:rPr>
        <w:t>ч</w:t>
      </w:r>
      <w:r w:rsidR="00302908" w:rsidRPr="00E37A63">
        <w:rPr>
          <w:spacing w:val="0"/>
          <w:kern w:val="0"/>
          <w:position w:val="0"/>
          <w:sz w:val="28"/>
          <w:szCs w:val="28"/>
          <w:lang w:val="uk-UA"/>
        </w:rPr>
        <w:t>ерез 5 рок</w:t>
      </w:r>
      <w:r w:rsidR="00047A5D" w:rsidRPr="00E37A63">
        <w:rPr>
          <w:spacing w:val="0"/>
          <w:kern w:val="0"/>
          <w:position w:val="0"/>
          <w:sz w:val="28"/>
          <w:szCs w:val="28"/>
          <w:lang w:val="uk-UA"/>
        </w:rPr>
        <w:t>ів</w:t>
      </w:r>
      <w:r w:rsidR="00302908" w:rsidRPr="00E37A63">
        <w:rPr>
          <w:spacing w:val="0"/>
          <w:kern w:val="0"/>
          <w:position w:val="0"/>
          <w:sz w:val="28"/>
          <w:szCs w:val="28"/>
          <w:lang w:val="uk-UA"/>
        </w:rPr>
        <w:t xml:space="preserve"> з дати набрання чинності цим Технічним регламентом</w:t>
      </w:r>
      <w:r w:rsidR="002675D6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E37A63" w:rsidRPr="002675D6">
        <w:rPr>
          <w:spacing w:val="0"/>
          <w:kern w:val="0"/>
          <w:position w:val="0"/>
          <w:sz w:val="28"/>
          <w:szCs w:val="28"/>
          <w:lang w:val="uk-UA"/>
        </w:rPr>
        <w:t xml:space="preserve">обігрівачі повинні відповідати вимогам, викладеним у </w:t>
      </w:r>
      <w:r w:rsidR="00A15AFB" w:rsidRPr="002675D6">
        <w:rPr>
          <w:spacing w:val="0"/>
          <w:kern w:val="0"/>
          <w:position w:val="0"/>
          <w:sz w:val="28"/>
          <w:szCs w:val="28"/>
          <w:lang w:val="uk-UA"/>
        </w:rPr>
        <w:t xml:space="preserve">пункті 4 </w:t>
      </w:r>
      <w:r w:rsidR="00E37A63" w:rsidRPr="002675D6">
        <w:rPr>
          <w:spacing w:val="0"/>
          <w:kern w:val="0"/>
          <w:position w:val="0"/>
          <w:sz w:val="28"/>
          <w:szCs w:val="28"/>
          <w:lang w:val="uk-UA"/>
        </w:rPr>
        <w:t>додатку 2;</w:t>
      </w:r>
    </w:p>
    <w:p w:rsidR="00841782" w:rsidRDefault="00302908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E37A63">
        <w:rPr>
          <w:spacing w:val="0"/>
          <w:kern w:val="0"/>
          <w:position w:val="0"/>
          <w:sz w:val="28"/>
          <w:szCs w:val="28"/>
          <w:lang w:val="uk-UA"/>
        </w:rPr>
        <w:t>Дотримання вимог до екодизайну</w:t>
      </w:r>
      <w:r w:rsidR="00164094" w:rsidRPr="00E37A63">
        <w:rPr>
          <w:spacing w:val="0"/>
          <w:kern w:val="0"/>
          <w:position w:val="0"/>
          <w:sz w:val="28"/>
          <w:szCs w:val="28"/>
          <w:lang w:val="uk-UA"/>
        </w:rPr>
        <w:t xml:space="preserve"> повинно перевірятися і розраховуватися відповідно до вимог, </w:t>
      </w:r>
      <w:r w:rsidR="00164094" w:rsidRPr="00A15AFB">
        <w:rPr>
          <w:spacing w:val="0"/>
          <w:kern w:val="0"/>
          <w:position w:val="0"/>
          <w:sz w:val="28"/>
          <w:szCs w:val="28"/>
          <w:lang w:val="uk-UA"/>
        </w:rPr>
        <w:t>встановлених у додатку 3</w:t>
      </w:r>
      <w:r w:rsidR="00813BEE" w:rsidRPr="00A15AFB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0F2BB8" w:rsidRPr="00A15AFB" w:rsidRDefault="000F2BB8" w:rsidP="00A15AFB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spacing w:val="0"/>
          <w:kern w:val="0"/>
          <w:position w:val="0"/>
          <w:sz w:val="28"/>
          <w:szCs w:val="28"/>
          <w:lang w:val="uk-UA"/>
        </w:rPr>
      </w:pPr>
    </w:p>
    <w:p w:rsidR="009728AB" w:rsidRPr="00D270D4" w:rsidRDefault="00364CA6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D270D4">
        <w:rPr>
          <w:b/>
          <w:spacing w:val="0"/>
          <w:kern w:val="0"/>
          <w:position w:val="0"/>
          <w:sz w:val="28"/>
          <w:szCs w:val="28"/>
          <w:lang w:val="uk-UA"/>
        </w:rPr>
        <w:t>Оцінка відповідності</w:t>
      </w:r>
    </w:p>
    <w:p w:rsidR="009728AB" w:rsidRPr="000D3703" w:rsidRDefault="009728AB" w:rsidP="00797CD9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9072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0D3703">
        <w:rPr>
          <w:spacing w:val="0"/>
          <w:kern w:val="0"/>
          <w:position w:val="0"/>
          <w:sz w:val="28"/>
          <w:szCs w:val="28"/>
          <w:lang w:val="uk-UA"/>
        </w:rPr>
        <w:t xml:space="preserve">5. Оцінка відповідності </w:t>
      </w:r>
      <w:r w:rsidR="00D270D4" w:rsidRPr="000D3703">
        <w:rPr>
          <w:spacing w:val="0"/>
          <w:kern w:val="0"/>
          <w:position w:val="0"/>
          <w:sz w:val="28"/>
          <w:szCs w:val="28"/>
          <w:lang w:val="uk-UA"/>
        </w:rPr>
        <w:t>обігрівачів</w:t>
      </w:r>
      <w:r w:rsidR="000D3703" w:rsidRPr="000D3703">
        <w:rPr>
          <w:spacing w:val="0"/>
          <w:kern w:val="0"/>
          <w:position w:val="0"/>
          <w:sz w:val="28"/>
          <w:szCs w:val="28"/>
          <w:lang w:val="uk-UA"/>
        </w:rPr>
        <w:t xml:space="preserve"> приміщень та комбінованих обігрівачів</w:t>
      </w:r>
      <w:r w:rsidR="00164094" w:rsidRPr="000D3703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Pr="000D3703">
        <w:rPr>
          <w:spacing w:val="0"/>
          <w:kern w:val="0"/>
          <w:position w:val="0"/>
          <w:sz w:val="28"/>
          <w:szCs w:val="28"/>
          <w:lang w:val="uk-UA"/>
        </w:rPr>
        <w:t>вимогам цього Технічного регламенту здійснюється шляхом застосування процедури внутрішнього контролю дизайну або процедури системи управління для оцінки відповідності, наведених відповідно в додатках 3 і 4 до Технічного регламенту щодо встановлення системи для визначення вимог з екодизайну енергоспоживчих продуктів, затвердженого постановою К</w:t>
      </w:r>
      <w:r w:rsidR="00D50BDB">
        <w:rPr>
          <w:spacing w:val="0"/>
          <w:kern w:val="0"/>
          <w:position w:val="0"/>
          <w:sz w:val="28"/>
          <w:szCs w:val="28"/>
          <w:lang w:val="uk-UA"/>
        </w:rPr>
        <w:t>абінету Міністрів України від 03 жовтня 2018 р. № 804 (Офіційний вісник України, 2018 р., № 80</w:t>
      </w:r>
      <w:r w:rsidR="00305EB9">
        <w:rPr>
          <w:spacing w:val="0"/>
          <w:kern w:val="0"/>
          <w:position w:val="0"/>
          <w:sz w:val="28"/>
          <w:szCs w:val="28"/>
          <w:lang w:val="uk-UA"/>
        </w:rPr>
        <w:t>,</w:t>
      </w:r>
      <w:r w:rsidR="00300773">
        <w:rPr>
          <w:spacing w:val="0"/>
          <w:kern w:val="0"/>
          <w:position w:val="0"/>
          <w:sz w:val="28"/>
          <w:szCs w:val="28"/>
          <w:lang w:val="uk-UA"/>
        </w:rPr>
        <w:t xml:space="preserve"> ст. 2678</w:t>
      </w:r>
      <w:r w:rsidRPr="000D3703">
        <w:rPr>
          <w:spacing w:val="0"/>
          <w:kern w:val="0"/>
          <w:position w:val="0"/>
          <w:sz w:val="28"/>
          <w:szCs w:val="28"/>
          <w:lang w:val="uk-UA"/>
        </w:rPr>
        <w:t>).</w:t>
      </w:r>
    </w:p>
    <w:p w:rsidR="009728AB" w:rsidRDefault="009D3DDD" w:rsidP="00797CD9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9072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9D3DDD">
        <w:rPr>
          <w:spacing w:val="0"/>
          <w:kern w:val="0"/>
          <w:position w:val="0"/>
          <w:sz w:val="28"/>
          <w:szCs w:val="28"/>
          <w:lang w:val="uk-UA"/>
        </w:rPr>
        <w:t>Для проведення оцінки відповідності, технічна документація повинна містити інфор</w:t>
      </w:r>
      <w:r w:rsidR="00F02E5D">
        <w:rPr>
          <w:spacing w:val="0"/>
          <w:kern w:val="0"/>
          <w:position w:val="0"/>
          <w:sz w:val="28"/>
          <w:szCs w:val="28"/>
          <w:lang w:val="uk-UA"/>
        </w:rPr>
        <w:t xml:space="preserve">мацію, відповідно до підпункту </w:t>
      </w:r>
      <w:r>
        <w:rPr>
          <w:spacing w:val="0"/>
          <w:kern w:val="0"/>
          <w:position w:val="0"/>
          <w:sz w:val="28"/>
          <w:szCs w:val="28"/>
          <w:lang w:val="uk-UA"/>
        </w:rPr>
        <w:t>2</w:t>
      </w:r>
      <w:r w:rsidRPr="009D3DDD">
        <w:rPr>
          <w:spacing w:val="0"/>
          <w:kern w:val="0"/>
          <w:position w:val="0"/>
          <w:sz w:val="28"/>
          <w:szCs w:val="28"/>
          <w:lang w:val="uk-UA"/>
        </w:rPr>
        <w:t xml:space="preserve"> пункту 5 додатку 2</w:t>
      </w:r>
      <w:r w:rsidR="009728AB" w:rsidRPr="000D3703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0F2BB8" w:rsidRPr="000D3703" w:rsidRDefault="000F2BB8" w:rsidP="000F2BB8">
      <w:pPr>
        <w:pStyle w:val="a4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505"/>
          <w:tab w:val="left" w:pos="9072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08"/>
        <w:jc w:val="both"/>
        <w:rPr>
          <w:spacing w:val="0"/>
          <w:kern w:val="0"/>
          <w:position w:val="0"/>
          <w:sz w:val="28"/>
          <w:szCs w:val="28"/>
          <w:lang w:val="uk-UA"/>
        </w:rPr>
      </w:pPr>
    </w:p>
    <w:p w:rsidR="00320EF4" w:rsidRPr="00E23318" w:rsidRDefault="00B428E2" w:rsidP="000F2BB8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E23318">
        <w:rPr>
          <w:b/>
          <w:spacing w:val="0"/>
          <w:kern w:val="0"/>
          <w:position w:val="0"/>
          <w:sz w:val="28"/>
          <w:szCs w:val="28"/>
          <w:lang w:val="uk-UA"/>
        </w:rPr>
        <w:t>Державний ринковий нагляд</w:t>
      </w:r>
    </w:p>
    <w:p w:rsidR="00AD5EB1" w:rsidRPr="00B833B5" w:rsidRDefault="00D93F0B" w:rsidP="00797CD9">
      <w:pPr>
        <w:pStyle w:val="a4"/>
        <w:widowControl/>
        <w:spacing w:before="120" w:after="12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B833B5">
        <w:rPr>
          <w:spacing w:val="0"/>
          <w:kern w:val="0"/>
          <w:position w:val="0"/>
          <w:sz w:val="28"/>
          <w:szCs w:val="28"/>
          <w:lang w:val="uk-UA"/>
        </w:rPr>
        <w:t>6</w:t>
      </w:r>
      <w:r w:rsidR="00DB682F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. 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Перевірка відповідності характеристик 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>обігрівачів приміщень та комбінованих обігрівачів</w:t>
      </w:r>
      <w:r w:rsidR="00AD5EB1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вимогам цього 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Технічного регламенту </w:t>
      </w:r>
      <w:r w:rsidR="00AD5EB1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під час 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здійснення державного ринкового нагляду </w:t>
      </w:r>
      <w:r w:rsidR="00A34214">
        <w:rPr>
          <w:spacing w:val="0"/>
          <w:kern w:val="0"/>
          <w:position w:val="0"/>
          <w:sz w:val="28"/>
          <w:szCs w:val="28"/>
          <w:lang w:val="uk-UA"/>
        </w:rPr>
        <w:t>здійснюється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згід</w:t>
      </w:r>
      <w:r w:rsidR="00AD5EB1" w:rsidRPr="00B833B5">
        <w:rPr>
          <w:spacing w:val="0"/>
          <w:kern w:val="0"/>
          <w:position w:val="0"/>
          <w:sz w:val="28"/>
          <w:szCs w:val="28"/>
          <w:lang w:val="uk-UA"/>
        </w:rPr>
        <w:t>но з</w:t>
      </w:r>
      <w:r w:rsidR="001917D8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вимогами, встановленими в </w:t>
      </w:r>
      <w:r w:rsidR="001917D8" w:rsidRPr="00A15AFB">
        <w:rPr>
          <w:spacing w:val="0"/>
          <w:kern w:val="0"/>
          <w:position w:val="0"/>
          <w:sz w:val="28"/>
          <w:szCs w:val="28"/>
          <w:lang w:val="uk-UA"/>
        </w:rPr>
        <w:t>д</w:t>
      </w:r>
      <w:r w:rsidR="00DB682F" w:rsidRPr="00A15AFB">
        <w:rPr>
          <w:spacing w:val="0"/>
          <w:kern w:val="0"/>
          <w:position w:val="0"/>
          <w:sz w:val="28"/>
          <w:szCs w:val="28"/>
          <w:lang w:val="uk-UA"/>
        </w:rPr>
        <w:t>одатку</w:t>
      </w:r>
      <w:r w:rsidR="00AD5EB1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764532" w:rsidRPr="00A15AFB">
        <w:rPr>
          <w:spacing w:val="0"/>
          <w:kern w:val="0"/>
          <w:position w:val="0"/>
          <w:sz w:val="28"/>
          <w:szCs w:val="28"/>
          <w:lang w:val="uk-UA"/>
        </w:rPr>
        <w:t>4</w:t>
      </w:r>
      <w:r w:rsidR="00607F70" w:rsidRPr="00A15AFB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364CA6" w:rsidRPr="00B833B5" w:rsidRDefault="00364CA6" w:rsidP="000F2BB8">
      <w:pPr>
        <w:pStyle w:val="a4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B833B5">
        <w:rPr>
          <w:b/>
          <w:spacing w:val="0"/>
          <w:kern w:val="0"/>
          <w:position w:val="0"/>
          <w:sz w:val="28"/>
          <w:szCs w:val="28"/>
          <w:lang w:val="uk-UA"/>
        </w:rPr>
        <w:t>Орієнтовні еталонні показники</w:t>
      </w:r>
    </w:p>
    <w:p w:rsidR="001917D8" w:rsidRDefault="00D93F0B" w:rsidP="00797CD9">
      <w:pPr>
        <w:pStyle w:val="a4"/>
        <w:widowControl/>
        <w:spacing w:before="12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B833B5">
        <w:rPr>
          <w:spacing w:val="0"/>
          <w:kern w:val="0"/>
          <w:position w:val="0"/>
          <w:sz w:val="28"/>
          <w:szCs w:val="28"/>
          <w:lang w:val="uk-UA"/>
        </w:rPr>
        <w:t>7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. Орієнтовні еталонні показники для 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>обігрівачів приміщень та комбінованих обігрівачів</w:t>
      </w:r>
      <w:r w:rsidR="00364CA6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з найкращими характеристиками, які наявні на </w:t>
      </w:r>
      <w:r w:rsidR="001917D8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ринку, </w:t>
      </w:r>
      <w:r w:rsidR="00A34214">
        <w:rPr>
          <w:spacing w:val="0"/>
          <w:kern w:val="0"/>
          <w:position w:val="0"/>
          <w:sz w:val="28"/>
          <w:szCs w:val="28"/>
          <w:lang w:val="uk-UA"/>
        </w:rPr>
        <w:t>визначено</w:t>
      </w:r>
      <w:r w:rsidR="001917D8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в </w:t>
      </w:r>
      <w:r w:rsidR="001917D8" w:rsidRPr="00A15AFB">
        <w:rPr>
          <w:spacing w:val="0"/>
          <w:kern w:val="0"/>
          <w:position w:val="0"/>
          <w:sz w:val="28"/>
          <w:szCs w:val="28"/>
          <w:lang w:val="uk-UA"/>
        </w:rPr>
        <w:t>д</w:t>
      </w:r>
      <w:r w:rsidR="00607F70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одатку </w:t>
      </w:r>
      <w:r w:rsidR="00764532" w:rsidRPr="00A15AFB">
        <w:rPr>
          <w:spacing w:val="0"/>
          <w:kern w:val="0"/>
          <w:position w:val="0"/>
          <w:sz w:val="28"/>
          <w:szCs w:val="28"/>
          <w:lang w:val="uk-UA"/>
        </w:rPr>
        <w:t>5</w:t>
      </w:r>
      <w:r w:rsidR="00607F70" w:rsidRPr="00A15AFB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AC264B" w:rsidRPr="00B833B5" w:rsidRDefault="00AC264B" w:rsidP="00797CD9">
      <w:pPr>
        <w:pStyle w:val="a4"/>
        <w:widowControl/>
        <w:spacing w:before="240" w:after="12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B833B5">
        <w:rPr>
          <w:b/>
          <w:spacing w:val="0"/>
          <w:kern w:val="0"/>
          <w:position w:val="0"/>
          <w:sz w:val="28"/>
          <w:szCs w:val="28"/>
          <w:lang w:val="uk-UA"/>
        </w:rPr>
        <w:lastRenderedPageBreak/>
        <w:t>Перехідні положення</w:t>
      </w:r>
    </w:p>
    <w:p w:rsidR="00240CB6" w:rsidRDefault="00240CB6" w:rsidP="00797CD9">
      <w:pPr>
        <w:pStyle w:val="a4"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highlight w:val="lightGray"/>
          <w:lang w:val="uk-UA"/>
        </w:rPr>
      </w:pPr>
      <w:r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8. 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До </w:t>
      </w:r>
      <w:r w:rsidR="0045419B" w:rsidRPr="00B833B5">
        <w:rPr>
          <w:spacing w:val="0"/>
          <w:kern w:val="0"/>
          <w:position w:val="0"/>
          <w:sz w:val="28"/>
          <w:szCs w:val="28"/>
          <w:lang w:val="uk-UA"/>
        </w:rPr>
        <w:t>вступу в дію вимог до екодизайну, що впроваджуються через 2 роки після набрання чинності цим Технічним регламентом, дозволяється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45419B" w:rsidRPr="00B833B5">
        <w:rPr>
          <w:spacing w:val="0"/>
          <w:kern w:val="0"/>
          <w:position w:val="0"/>
          <w:sz w:val="28"/>
          <w:szCs w:val="28"/>
          <w:lang w:val="uk-UA"/>
        </w:rPr>
        <w:t>введення в обіг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та</w:t>
      </w:r>
      <w:r w:rsidR="00764532">
        <w:rPr>
          <w:spacing w:val="0"/>
          <w:kern w:val="0"/>
          <w:position w:val="0"/>
          <w:sz w:val="28"/>
          <w:szCs w:val="28"/>
          <w:lang w:val="uk-UA"/>
        </w:rPr>
        <w:t>/або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експлуатаці</w:t>
      </w:r>
      <w:r w:rsidR="0045419B" w:rsidRPr="00B833B5">
        <w:rPr>
          <w:spacing w:val="0"/>
          <w:kern w:val="0"/>
          <w:position w:val="0"/>
          <w:sz w:val="28"/>
          <w:szCs w:val="28"/>
          <w:lang w:val="uk-UA"/>
        </w:rPr>
        <w:t>я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>обігрівачів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, </w:t>
      </w:r>
      <w:r w:rsidR="0045419B" w:rsidRPr="00B833B5">
        <w:rPr>
          <w:spacing w:val="0"/>
          <w:kern w:val="0"/>
          <w:position w:val="0"/>
          <w:sz w:val="28"/>
          <w:szCs w:val="28"/>
          <w:lang w:val="uk-UA"/>
        </w:rPr>
        <w:t>що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відповідають вимогам чи</w:t>
      </w:r>
      <w:r w:rsidR="0045419B" w:rsidRPr="00B833B5">
        <w:rPr>
          <w:spacing w:val="0"/>
          <w:kern w:val="0"/>
          <w:position w:val="0"/>
          <w:sz w:val="28"/>
          <w:szCs w:val="28"/>
          <w:lang w:val="uk-UA"/>
        </w:rPr>
        <w:t>нних на момент прийняття цього Технічного р</w:t>
      </w:r>
      <w:r w:rsidR="00AC264B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егламенту національних норм стосовно 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>сезонної енергоефективності</w:t>
      </w:r>
      <w:r w:rsidR="00F83A96">
        <w:rPr>
          <w:spacing w:val="0"/>
          <w:kern w:val="0"/>
          <w:position w:val="0"/>
          <w:sz w:val="28"/>
          <w:szCs w:val="28"/>
          <w:lang w:val="uk-UA"/>
        </w:rPr>
        <w:t xml:space="preserve"> (ККД)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F83A96">
        <w:rPr>
          <w:spacing w:val="0"/>
          <w:kern w:val="0"/>
          <w:position w:val="0"/>
          <w:sz w:val="28"/>
          <w:szCs w:val="28"/>
          <w:lang w:val="uk-UA"/>
        </w:rPr>
        <w:t>обігріву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 xml:space="preserve"> приміщень, енергоефективності </w:t>
      </w:r>
      <w:r w:rsidR="00F83A96">
        <w:rPr>
          <w:spacing w:val="0"/>
          <w:kern w:val="0"/>
          <w:position w:val="0"/>
          <w:sz w:val="28"/>
          <w:szCs w:val="28"/>
          <w:lang w:val="uk-UA"/>
        </w:rPr>
        <w:t xml:space="preserve">(ККД) </w:t>
      </w:r>
      <w:r w:rsidR="00B833B5" w:rsidRPr="00B833B5">
        <w:rPr>
          <w:spacing w:val="0"/>
          <w:kern w:val="0"/>
          <w:position w:val="0"/>
          <w:sz w:val="28"/>
          <w:szCs w:val="28"/>
          <w:lang w:val="uk-UA"/>
        </w:rPr>
        <w:t>нагріву води і рівня звукової потужності</w:t>
      </w:r>
      <w:r w:rsidR="00B833B5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764532" w:rsidRDefault="0045419B" w:rsidP="00797CD9">
      <w:pPr>
        <w:pStyle w:val="a4"/>
        <w:spacing w:line="276" w:lineRule="auto"/>
        <w:ind w:firstLine="709"/>
        <w:jc w:val="both"/>
        <w:rPr>
          <w:lang w:val="uk-UA"/>
        </w:rPr>
      </w:pPr>
      <w:r w:rsidRPr="00764532">
        <w:rPr>
          <w:spacing w:val="0"/>
          <w:kern w:val="0"/>
          <w:position w:val="0"/>
          <w:sz w:val="28"/>
          <w:szCs w:val="28"/>
          <w:lang w:val="uk-UA"/>
        </w:rPr>
        <w:t>До вступу в дію вимог до екодизайну, що впроваджуються через 5 років після набрання чинності цим Технічним регламентом, дозволяється введення в обіг та</w:t>
      </w:r>
      <w:r w:rsidR="00764532" w:rsidRPr="00764532">
        <w:rPr>
          <w:spacing w:val="0"/>
          <w:kern w:val="0"/>
          <w:position w:val="0"/>
          <w:sz w:val="28"/>
          <w:szCs w:val="28"/>
          <w:lang w:val="uk-UA"/>
        </w:rPr>
        <w:t>/або</w:t>
      </w:r>
      <w:r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експлуатація </w:t>
      </w:r>
      <w:r w:rsidR="00764532" w:rsidRPr="00764532">
        <w:rPr>
          <w:spacing w:val="0"/>
          <w:kern w:val="0"/>
          <w:position w:val="0"/>
          <w:sz w:val="28"/>
          <w:szCs w:val="28"/>
          <w:lang w:val="uk-UA"/>
        </w:rPr>
        <w:t>обігрівачів</w:t>
      </w:r>
      <w:r w:rsidRPr="00764532">
        <w:rPr>
          <w:spacing w:val="0"/>
          <w:kern w:val="0"/>
          <w:position w:val="0"/>
          <w:sz w:val="28"/>
          <w:szCs w:val="28"/>
          <w:lang w:val="uk-UA"/>
        </w:rPr>
        <w:t>, що відповідають вимогам чинних на момент прийняття цього Технічного регламенту національних норм стосовно викидів оксидів азоту.</w:t>
      </w:r>
      <w:r w:rsidR="00764532" w:rsidRPr="002204EF">
        <w:rPr>
          <w:lang w:val="uk-UA"/>
        </w:rPr>
        <w:t xml:space="preserve"> </w:t>
      </w:r>
    </w:p>
    <w:p w:rsidR="00797CD9" w:rsidRDefault="00797CD9" w:rsidP="00797CD9">
      <w:pPr>
        <w:pStyle w:val="a4"/>
        <w:spacing w:line="276" w:lineRule="auto"/>
        <w:ind w:firstLine="709"/>
        <w:jc w:val="both"/>
        <w:rPr>
          <w:lang w:val="uk-UA"/>
        </w:rPr>
      </w:pPr>
    </w:p>
    <w:p w:rsidR="00364CA6" w:rsidRPr="00764532" w:rsidRDefault="00364CA6" w:rsidP="00797CD9">
      <w:pPr>
        <w:pStyle w:val="a4"/>
        <w:widowControl/>
        <w:spacing w:after="12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764532">
        <w:rPr>
          <w:b/>
          <w:spacing w:val="0"/>
          <w:kern w:val="0"/>
          <w:position w:val="0"/>
          <w:sz w:val="28"/>
          <w:szCs w:val="28"/>
          <w:lang w:val="uk-UA"/>
        </w:rPr>
        <w:t>Таблиця відповідності</w:t>
      </w:r>
    </w:p>
    <w:p w:rsidR="00607F70" w:rsidRDefault="00240CB6" w:rsidP="00797CD9">
      <w:pPr>
        <w:pStyle w:val="a4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764532">
        <w:rPr>
          <w:spacing w:val="0"/>
          <w:kern w:val="0"/>
          <w:position w:val="0"/>
          <w:sz w:val="28"/>
          <w:szCs w:val="28"/>
          <w:lang w:val="uk-UA"/>
        </w:rPr>
        <w:t>9</w:t>
      </w:r>
      <w:r w:rsidR="00364CA6" w:rsidRPr="00764532">
        <w:rPr>
          <w:spacing w:val="0"/>
          <w:kern w:val="0"/>
          <w:position w:val="0"/>
          <w:sz w:val="28"/>
          <w:szCs w:val="28"/>
          <w:lang w:val="uk-UA"/>
        </w:rPr>
        <w:t>. Таблиц</w:t>
      </w:r>
      <w:r w:rsidR="00B428E2" w:rsidRPr="00764532">
        <w:rPr>
          <w:spacing w:val="0"/>
          <w:kern w:val="0"/>
          <w:position w:val="0"/>
          <w:sz w:val="28"/>
          <w:szCs w:val="28"/>
          <w:lang w:val="uk-UA"/>
        </w:rPr>
        <w:t>ю</w:t>
      </w:r>
      <w:r w:rsidR="00364CA6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відповідності положень </w:t>
      </w:r>
      <w:r w:rsidR="001A4C33" w:rsidRPr="00764532">
        <w:rPr>
          <w:spacing w:val="0"/>
          <w:kern w:val="0"/>
          <w:position w:val="0"/>
          <w:sz w:val="28"/>
          <w:szCs w:val="28"/>
          <w:lang w:val="uk-UA"/>
        </w:rPr>
        <w:t>Регламенту Комісії (ЄС) №</w:t>
      </w:r>
      <w:r w:rsidR="00797CD9">
        <w:rPr>
          <w:spacing w:val="0"/>
          <w:kern w:val="0"/>
          <w:position w:val="0"/>
          <w:sz w:val="28"/>
          <w:szCs w:val="28"/>
          <w:lang w:val="uk-UA"/>
        </w:rPr>
        <w:t> 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81</w:t>
      </w:r>
      <w:r w:rsidR="00764532" w:rsidRPr="00764532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E63BFD" w:rsidRPr="00764532">
        <w:rPr>
          <w:spacing w:val="0"/>
          <w:kern w:val="0"/>
          <w:position w:val="0"/>
          <w:sz w:val="28"/>
          <w:szCs w:val="28"/>
          <w:lang w:val="uk-UA"/>
        </w:rPr>
        <w:t>/201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E63BFD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від 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1A4C33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серпня</w:t>
      </w:r>
      <w:r w:rsidR="00E63BFD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201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1A4C33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року</w:t>
      </w:r>
      <w:r w:rsidR="0093334B" w:rsidRPr="00764532">
        <w:rPr>
          <w:spacing w:val="0"/>
          <w:kern w:val="0"/>
          <w:position w:val="0"/>
          <w:sz w:val="28"/>
          <w:szCs w:val="28"/>
          <w:lang w:val="uk-UA"/>
        </w:rPr>
        <w:t>, що доповнює</w:t>
      </w:r>
      <w:r w:rsidR="001A4C33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93334B" w:rsidRPr="00764532">
        <w:rPr>
          <w:spacing w:val="0"/>
          <w:kern w:val="0"/>
          <w:position w:val="0"/>
          <w:sz w:val="28"/>
          <w:szCs w:val="28"/>
          <w:lang w:val="uk-UA"/>
        </w:rPr>
        <w:t>Директиву</w:t>
      </w:r>
      <w:r w:rsidR="001917D8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2009/125/Є</w:t>
      </w:r>
      <w:r w:rsidR="001A4C33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C Європейського Парламенту та Ради </w:t>
      </w:r>
      <w:r w:rsidR="00804143">
        <w:rPr>
          <w:spacing w:val="0"/>
          <w:kern w:val="0"/>
          <w:position w:val="0"/>
          <w:sz w:val="28"/>
          <w:szCs w:val="28"/>
          <w:lang w:val="uk-UA"/>
        </w:rPr>
        <w:t>стосовно</w:t>
      </w:r>
      <w:r w:rsidR="001917D8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вимог екодизайну для </w:t>
      </w:r>
      <w:r w:rsidR="00764532" w:rsidRPr="00764532">
        <w:rPr>
          <w:spacing w:val="0"/>
          <w:kern w:val="0"/>
          <w:position w:val="0"/>
          <w:sz w:val="28"/>
          <w:szCs w:val="28"/>
          <w:lang w:val="uk-UA"/>
        </w:rPr>
        <w:t>обігрівачів приміщень та комбінованих обігрівачів</w:t>
      </w:r>
      <w:r w:rsidR="00082F2E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DB682F" w:rsidRPr="00764532">
        <w:rPr>
          <w:spacing w:val="0"/>
          <w:kern w:val="0"/>
          <w:position w:val="0"/>
          <w:sz w:val="28"/>
          <w:szCs w:val="28"/>
          <w:lang w:val="uk-UA"/>
        </w:rPr>
        <w:t>і</w:t>
      </w:r>
      <w:r w:rsidR="00364CA6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цього Технічного регламенту наведен</w:t>
      </w:r>
      <w:r w:rsidR="00B428E2" w:rsidRPr="00764532">
        <w:rPr>
          <w:spacing w:val="0"/>
          <w:kern w:val="0"/>
          <w:position w:val="0"/>
          <w:sz w:val="28"/>
          <w:szCs w:val="28"/>
          <w:lang w:val="uk-UA"/>
        </w:rPr>
        <w:t>о</w:t>
      </w:r>
      <w:r w:rsidR="00364CA6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B428E2" w:rsidRPr="00764532">
        <w:rPr>
          <w:spacing w:val="0"/>
          <w:kern w:val="0"/>
          <w:position w:val="0"/>
          <w:sz w:val="28"/>
          <w:szCs w:val="28"/>
          <w:lang w:val="uk-UA"/>
        </w:rPr>
        <w:t>у</w:t>
      </w:r>
      <w:r w:rsidR="001917D8" w:rsidRPr="00764532">
        <w:rPr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1917D8" w:rsidRPr="00A15AFB">
        <w:rPr>
          <w:spacing w:val="0"/>
          <w:kern w:val="0"/>
          <w:position w:val="0"/>
          <w:sz w:val="28"/>
          <w:szCs w:val="28"/>
          <w:lang w:val="uk-UA"/>
        </w:rPr>
        <w:t>д</w:t>
      </w:r>
      <w:r w:rsidR="00364CA6" w:rsidRPr="00A15AFB">
        <w:rPr>
          <w:spacing w:val="0"/>
          <w:kern w:val="0"/>
          <w:position w:val="0"/>
          <w:sz w:val="28"/>
          <w:szCs w:val="28"/>
          <w:lang w:val="uk-UA"/>
        </w:rPr>
        <w:t xml:space="preserve">одатку </w:t>
      </w:r>
      <w:r w:rsidR="00764532" w:rsidRPr="00A15AFB">
        <w:rPr>
          <w:spacing w:val="0"/>
          <w:kern w:val="0"/>
          <w:position w:val="0"/>
          <w:sz w:val="28"/>
          <w:szCs w:val="28"/>
          <w:lang w:val="uk-UA"/>
        </w:rPr>
        <w:t>6</w:t>
      </w:r>
      <w:r w:rsidR="00364CA6" w:rsidRPr="00A15AFB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797CD9" w:rsidRPr="00764532" w:rsidRDefault="00797CD9" w:rsidP="00797CD9">
      <w:pPr>
        <w:pStyle w:val="a4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</w:p>
    <w:p w:rsidR="00592E46" w:rsidRPr="00B428E2" w:rsidRDefault="00607F70" w:rsidP="00797CD9">
      <w:pPr>
        <w:pStyle w:val="a4"/>
        <w:widowControl/>
        <w:spacing w:before="240" w:line="276" w:lineRule="auto"/>
        <w:jc w:val="center"/>
        <w:rPr>
          <w:spacing w:val="0"/>
          <w:kern w:val="0"/>
          <w:position w:val="0"/>
          <w:sz w:val="28"/>
          <w:szCs w:val="28"/>
          <w:lang w:val="uk-UA"/>
        </w:rPr>
      </w:pPr>
      <w:r w:rsidRPr="00E63BFD">
        <w:rPr>
          <w:spacing w:val="0"/>
          <w:kern w:val="0"/>
          <w:position w:val="0"/>
          <w:sz w:val="28"/>
          <w:szCs w:val="28"/>
          <w:lang w:val="uk-UA"/>
        </w:rPr>
        <w:t>_______________________</w:t>
      </w:r>
    </w:p>
    <w:sectPr w:rsidR="00592E46" w:rsidRPr="00B428E2" w:rsidSect="006325FA">
      <w:headerReference w:type="default" r:id="rId8"/>
      <w:footerReference w:type="default" r:id="rId9"/>
      <w:pgSz w:w="11906" w:h="16838"/>
      <w:pgMar w:top="1134" w:right="850" w:bottom="1134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1E7" w:rsidRDefault="001111E7" w:rsidP="00364CA6">
      <w:r>
        <w:separator/>
      </w:r>
    </w:p>
  </w:endnote>
  <w:endnote w:type="continuationSeparator" w:id="0">
    <w:p w:rsidR="001111E7" w:rsidRDefault="001111E7" w:rsidP="00364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EUAlbertina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CD8" w:rsidRDefault="00454CD8">
    <w:pPr>
      <w:pStyle w:val="ac"/>
      <w:framePr w:wrap="auto" w:vAnchor="text" w:hAnchor="margin" w:xAlign="right" w:y="1"/>
      <w:rPr>
        <w:rStyle w:val="a9"/>
      </w:rPr>
    </w:pPr>
  </w:p>
  <w:p w:rsidR="00454CD8" w:rsidRDefault="00454CD8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1E7" w:rsidRDefault="001111E7" w:rsidP="00364CA6">
      <w:r>
        <w:separator/>
      </w:r>
    </w:p>
  </w:footnote>
  <w:footnote w:type="continuationSeparator" w:id="0">
    <w:p w:rsidR="001111E7" w:rsidRDefault="001111E7" w:rsidP="00364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55627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54CD8" w:rsidRDefault="00AD43E6" w:rsidP="00377105">
        <w:pPr>
          <w:pStyle w:val="aa"/>
          <w:spacing w:after="0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536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54CD8" w:rsidRPr="007C536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536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87C21" w:rsidRPr="00387C21">
          <w:rPr>
            <w:rFonts w:ascii="Times New Roman" w:hAnsi="Times New Roman" w:cs="Times New Roman"/>
            <w:noProof/>
            <w:sz w:val="28"/>
            <w:szCs w:val="28"/>
            <w:lang w:val="ru-RU"/>
          </w:rPr>
          <w:t>6</w:t>
        </w:r>
        <w:r w:rsidRPr="007C536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77105" w:rsidRPr="007C5363" w:rsidRDefault="00377105" w:rsidP="00377105">
    <w:pPr>
      <w:pStyle w:val="aa"/>
      <w:spacing w:after="0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C66F78"/>
    <w:lvl w:ilvl="0">
      <w:numFmt w:val="bullet"/>
      <w:lvlText w:val="*"/>
      <w:lvlJc w:val="left"/>
    </w:lvl>
  </w:abstractNum>
  <w:abstractNum w:abstractNumId="1" w15:restartNumberingAfterBreak="0">
    <w:nsid w:val="08932709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2" w15:restartNumberingAfterBreak="0">
    <w:nsid w:val="0A1A3610"/>
    <w:multiLevelType w:val="singleLevel"/>
    <w:tmpl w:val="85C674BE"/>
    <w:lvl w:ilvl="0">
      <w:start w:val="10"/>
      <w:numFmt w:val="decimal"/>
      <w:lvlText w:val="%1."/>
      <w:legacy w:legacy="1" w:legacySpace="0" w:legacyIndent="322"/>
      <w:lvlJc w:val="left"/>
      <w:rPr>
        <w:rFonts w:ascii="Book Antiqua" w:hAnsi="Book Antiqua" w:cs="Book Antiqua" w:hint="default"/>
      </w:rPr>
    </w:lvl>
  </w:abstractNum>
  <w:abstractNum w:abstractNumId="3" w15:restartNumberingAfterBreak="0">
    <w:nsid w:val="0BD6476E"/>
    <w:multiLevelType w:val="multilevel"/>
    <w:tmpl w:val="7A7E9650"/>
    <w:lvl w:ilvl="0">
      <w:start w:val="1"/>
      <w:numFmt w:val="lowerRoman"/>
      <w:lvlText w:val="(%1)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A5B4222"/>
    <w:multiLevelType w:val="singleLevel"/>
    <w:tmpl w:val="B02CFD60"/>
    <w:lvl w:ilvl="0">
      <w:start w:val="2"/>
      <w:numFmt w:val="lowerLetter"/>
      <w:lvlText w:val="(%1)"/>
      <w:legacy w:legacy="1" w:legacySpace="0" w:legacyIndent="274"/>
      <w:lvlJc w:val="left"/>
      <w:rPr>
        <w:rFonts w:ascii="Book Antiqua" w:hAnsi="Book Antiqua" w:cs="Book Antiqua" w:hint="default"/>
      </w:rPr>
    </w:lvl>
  </w:abstractNum>
  <w:abstractNum w:abstractNumId="5" w15:restartNumberingAfterBreak="0">
    <w:nsid w:val="1E2F1D23"/>
    <w:multiLevelType w:val="singleLevel"/>
    <w:tmpl w:val="041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12676A9"/>
    <w:multiLevelType w:val="singleLevel"/>
    <w:tmpl w:val="A06A8576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433027F"/>
    <w:multiLevelType w:val="multilevel"/>
    <w:tmpl w:val="043E1CF6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6427D46"/>
    <w:multiLevelType w:val="hybridMultilevel"/>
    <w:tmpl w:val="600E7BF0"/>
    <w:lvl w:ilvl="0" w:tplc="CB68F864">
      <w:start w:val="2"/>
      <w:numFmt w:val="bullet"/>
      <w:lvlText w:val="-"/>
      <w:lvlJc w:val="left"/>
      <w:pPr>
        <w:ind w:left="1146" w:hanging="360"/>
      </w:pPr>
      <w:rPr>
        <w:rFonts w:ascii="Book Antiqua" w:eastAsia="Times New Roman" w:hAnsi="Book Antiqua" w:cs="Book Antiqu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160636"/>
    <w:multiLevelType w:val="singleLevel"/>
    <w:tmpl w:val="4FFAB826"/>
    <w:lvl w:ilvl="0">
      <w:start w:val="3"/>
      <w:numFmt w:val="lowerLetter"/>
      <w:lvlText w:val="(%1)"/>
      <w:legacy w:legacy="1" w:legacySpace="0" w:legacyIndent="269"/>
      <w:lvlJc w:val="left"/>
      <w:rPr>
        <w:rFonts w:ascii="Book Antiqua" w:hAnsi="Book Antiqua" w:cs="Book Antiqua" w:hint="default"/>
      </w:rPr>
    </w:lvl>
  </w:abstractNum>
  <w:abstractNum w:abstractNumId="10" w15:restartNumberingAfterBreak="0">
    <w:nsid w:val="29C4787A"/>
    <w:multiLevelType w:val="multilevel"/>
    <w:tmpl w:val="66181C76"/>
    <w:lvl w:ilvl="0">
      <w:start w:val="1"/>
      <w:numFmt w:val="lowerLetter"/>
      <w:lvlText w:val="(%1)"/>
      <w:lvlJc w:val="left"/>
      <w:pPr>
        <w:tabs>
          <w:tab w:val="num" w:pos="360"/>
        </w:tabs>
        <w:ind w:left="1077" w:hanging="107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D9062FC"/>
    <w:multiLevelType w:val="multilevel"/>
    <w:tmpl w:val="20B6539C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DBE292F"/>
    <w:multiLevelType w:val="multilevel"/>
    <w:tmpl w:val="424A85A6"/>
    <w:lvl w:ilvl="0">
      <w:start w:val="1"/>
      <w:numFmt w:val="decimal"/>
      <w:lvlText w:val="%1.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09329A9"/>
    <w:multiLevelType w:val="multilevel"/>
    <w:tmpl w:val="FD6E2778"/>
    <w:lvl w:ilvl="0">
      <w:start w:val="1"/>
      <w:numFmt w:val="lowerRoman"/>
      <w:lvlText w:val="(%1)"/>
      <w:lvlJc w:val="left"/>
      <w:pPr>
        <w:tabs>
          <w:tab w:val="num" w:pos="360"/>
        </w:tabs>
        <w:ind w:left="907" w:hanging="90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60DF0F9F"/>
    <w:multiLevelType w:val="hybridMultilevel"/>
    <w:tmpl w:val="CFC41F96"/>
    <w:lvl w:ilvl="0" w:tplc="512204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77132C9"/>
    <w:multiLevelType w:val="singleLevel"/>
    <w:tmpl w:val="2584C5C0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B8941CC"/>
    <w:multiLevelType w:val="multilevel"/>
    <w:tmpl w:val="498AB89E"/>
    <w:lvl w:ilvl="0">
      <w:start w:val="1"/>
      <w:numFmt w:val="lowerLetter"/>
      <w:lvlText w:val="(%1)"/>
      <w:lvlJc w:val="left"/>
      <w:pPr>
        <w:tabs>
          <w:tab w:val="num" w:pos="360"/>
        </w:tabs>
        <w:ind w:left="1077" w:hanging="107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07B7F46"/>
    <w:multiLevelType w:val="singleLevel"/>
    <w:tmpl w:val="F06E2BDC"/>
    <w:lvl w:ilvl="0">
      <w:start w:val="2"/>
      <w:numFmt w:val="decimal"/>
      <w:lvlText w:val="%1."/>
      <w:legacy w:legacy="1" w:legacySpace="0" w:legacyIndent="226"/>
      <w:lvlJc w:val="left"/>
      <w:rPr>
        <w:rFonts w:ascii="Book Antiqua" w:hAnsi="Book Antiqua" w:cs="Book Antiqua" w:hint="default"/>
      </w:rPr>
    </w:lvl>
  </w:abstractNum>
  <w:abstractNum w:abstractNumId="18" w15:restartNumberingAfterBreak="0">
    <w:nsid w:val="7400677A"/>
    <w:multiLevelType w:val="hybridMultilevel"/>
    <w:tmpl w:val="C1E865EC"/>
    <w:lvl w:ilvl="0" w:tplc="CB68F864">
      <w:start w:val="2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Book Antiqua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045F5B"/>
    <w:multiLevelType w:val="multilevel"/>
    <w:tmpl w:val="EC9E3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BDE401B"/>
    <w:multiLevelType w:val="singleLevel"/>
    <w:tmpl w:val="1BA85F78"/>
    <w:lvl w:ilvl="0">
      <w:start w:val="1"/>
      <w:numFmt w:val="lowerLetter"/>
      <w:lvlText w:val="(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CF63EA9"/>
    <w:multiLevelType w:val="singleLevel"/>
    <w:tmpl w:val="567E77F6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7"/>
  </w:num>
  <w:num w:numId="5">
    <w:abstractNumId w:val="2"/>
  </w:num>
  <w:num w:numId="6">
    <w:abstractNumId w:val="21"/>
  </w:num>
  <w:num w:numId="7">
    <w:abstractNumId w:val="20"/>
  </w:num>
  <w:num w:numId="8">
    <w:abstractNumId w:val="6"/>
  </w:num>
  <w:num w:numId="9">
    <w:abstractNumId w:val="15"/>
  </w:num>
  <w:num w:numId="10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Book Antiqua" w:hAnsi="Book Antiqua" w:cs="Book Antiqua" w:hint="default"/>
        </w:rPr>
      </w:lvl>
    </w:lvlOverride>
  </w:num>
  <w:num w:numId="11">
    <w:abstractNumId w:val="19"/>
  </w:num>
  <w:num w:numId="12">
    <w:abstractNumId w:val="5"/>
  </w:num>
  <w:num w:numId="13">
    <w:abstractNumId w:val="12"/>
  </w:num>
  <w:num w:numId="14">
    <w:abstractNumId w:val="18"/>
  </w:num>
  <w:num w:numId="15">
    <w:abstractNumId w:val="16"/>
  </w:num>
  <w:num w:numId="16">
    <w:abstractNumId w:val="8"/>
  </w:num>
  <w:num w:numId="17">
    <w:abstractNumId w:val="11"/>
  </w:num>
  <w:num w:numId="18">
    <w:abstractNumId w:val="10"/>
  </w:num>
  <w:num w:numId="19">
    <w:abstractNumId w:val="13"/>
  </w:num>
  <w:num w:numId="20">
    <w:abstractNumId w:val="3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6"/>
    <w:rsid w:val="00003E77"/>
    <w:rsid w:val="00004A52"/>
    <w:rsid w:val="00005DC7"/>
    <w:rsid w:val="0000754C"/>
    <w:rsid w:val="000108CD"/>
    <w:rsid w:val="00016386"/>
    <w:rsid w:val="0002244E"/>
    <w:rsid w:val="00032B4D"/>
    <w:rsid w:val="00034B01"/>
    <w:rsid w:val="00037C67"/>
    <w:rsid w:val="0004699E"/>
    <w:rsid w:val="00047A5D"/>
    <w:rsid w:val="00047BFF"/>
    <w:rsid w:val="000635AB"/>
    <w:rsid w:val="00082F2E"/>
    <w:rsid w:val="000927AC"/>
    <w:rsid w:val="00096144"/>
    <w:rsid w:val="000B060C"/>
    <w:rsid w:val="000C6E47"/>
    <w:rsid w:val="000D3703"/>
    <w:rsid w:val="000E03A7"/>
    <w:rsid w:val="000E1D39"/>
    <w:rsid w:val="000F2BB8"/>
    <w:rsid w:val="000F5785"/>
    <w:rsid w:val="001012FC"/>
    <w:rsid w:val="00105402"/>
    <w:rsid w:val="00105B2C"/>
    <w:rsid w:val="001100D0"/>
    <w:rsid w:val="001111E7"/>
    <w:rsid w:val="00111CDF"/>
    <w:rsid w:val="001122D3"/>
    <w:rsid w:val="001179B9"/>
    <w:rsid w:val="00152CB3"/>
    <w:rsid w:val="0015439A"/>
    <w:rsid w:val="00154DFA"/>
    <w:rsid w:val="00156EC0"/>
    <w:rsid w:val="00164094"/>
    <w:rsid w:val="001902A1"/>
    <w:rsid w:val="001917D8"/>
    <w:rsid w:val="001930A0"/>
    <w:rsid w:val="0019597C"/>
    <w:rsid w:val="001A4265"/>
    <w:rsid w:val="001A4C33"/>
    <w:rsid w:val="001B153F"/>
    <w:rsid w:val="001C3B8B"/>
    <w:rsid w:val="001E2E71"/>
    <w:rsid w:val="0021617A"/>
    <w:rsid w:val="002204EF"/>
    <w:rsid w:val="00223AE7"/>
    <w:rsid w:val="002314C4"/>
    <w:rsid w:val="002401E5"/>
    <w:rsid w:val="00240CB6"/>
    <w:rsid w:val="00240F7D"/>
    <w:rsid w:val="0024745B"/>
    <w:rsid w:val="00251162"/>
    <w:rsid w:val="00251675"/>
    <w:rsid w:val="002527C8"/>
    <w:rsid w:val="002675D6"/>
    <w:rsid w:val="00270179"/>
    <w:rsid w:val="002742E5"/>
    <w:rsid w:val="00274A07"/>
    <w:rsid w:val="00274EDA"/>
    <w:rsid w:val="00277DF5"/>
    <w:rsid w:val="00284ABC"/>
    <w:rsid w:val="00287142"/>
    <w:rsid w:val="002B6812"/>
    <w:rsid w:val="002C0359"/>
    <w:rsid w:val="002D3376"/>
    <w:rsid w:val="002D4DEB"/>
    <w:rsid w:val="002F238C"/>
    <w:rsid w:val="002F5173"/>
    <w:rsid w:val="00300773"/>
    <w:rsid w:val="00300C9C"/>
    <w:rsid w:val="00302908"/>
    <w:rsid w:val="00303F25"/>
    <w:rsid w:val="00305EB9"/>
    <w:rsid w:val="00313F26"/>
    <w:rsid w:val="00315755"/>
    <w:rsid w:val="00320EF4"/>
    <w:rsid w:val="003236DA"/>
    <w:rsid w:val="003256F4"/>
    <w:rsid w:val="00333528"/>
    <w:rsid w:val="00334D3C"/>
    <w:rsid w:val="00336284"/>
    <w:rsid w:val="00340112"/>
    <w:rsid w:val="00342300"/>
    <w:rsid w:val="00342679"/>
    <w:rsid w:val="00342C09"/>
    <w:rsid w:val="00347668"/>
    <w:rsid w:val="003536A8"/>
    <w:rsid w:val="00364CA6"/>
    <w:rsid w:val="00365EF9"/>
    <w:rsid w:val="00375FC5"/>
    <w:rsid w:val="00377105"/>
    <w:rsid w:val="00387C21"/>
    <w:rsid w:val="003A164E"/>
    <w:rsid w:val="003D21C5"/>
    <w:rsid w:val="003E05E1"/>
    <w:rsid w:val="003F668B"/>
    <w:rsid w:val="003F6B64"/>
    <w:rsid w:val="00405857"/>
    <w:rsid w:val="00405B52"/>
    <w:rsid w:val="0041524B"/>
    <w:rsid w:val="00427E14"/>
    <w:rsid w:val="00432C34"/>
    <w:rsid w:val="00432D8A"/>
    <w:rsid w:val="004341AC"/>
    <w:rsid w:val="00444F2F"/>
    <w:rsid w:val="0045419B"/>
    <w:rsid w:val="00454CD8"/>
    <w:rsid w:val="00462498"/>
    <w:rsid w:val="00462F0B"/>
    <w:rsid w:val="004706E0"/>
    <w:rsid w:val="00475AD5"/>
    <w:rsid w:val="0047757F"/>
    <w:rsid w:val="004930E8"/>
    <w:rsid w:val="004A778A"/>
    <w:rsid w:val="004D43AE"/>
    <w:rsid w:val="004D470B"/>
    <w:rsid w:val="004E2C98"/>
    <w:rsid w:val="004E5996"/>
    <w:rsid w:val="00501355"/>
    <w:rsid w:val="0050701C"/>
    <w:rsid w:val="005113EC"/>
    <w:rsid w:val="00527354"/>
    <w:rsid w:val="00527A40"/>
    <w:rsid w:val="005330C1"/>
    <w:rsid w:val="00543720"/>
    <w:rsid w:val="005724D5"/>
    <w:rsid w:val="005846DC"/>
    <w:rsid w:val="00592E46"/>
    <w:rsid w:val="005A1059"/>
    <w:rsid w:val="005A10A3"/>
    <w:rsid w:val="005B1F7F"/>
    <w:rsid w:val="005B4B66"/>
    <w:rsid w:val="005B4B6B"/>
    <w:rsid w:val="005B56FA"/>
    <w:rsid w:val="005C3A6B"/>
    <w:rsid w:val="005C4352"/>
    <w:rsid w:val="005C6420"/>
    <w:rsid w:val="005D1EA6"/>
    <w:rsid w:val="005D234A"/>
    <w:rsid w:val="005D2E8D"/>
    <w:rsid w:val="005E01C9"/>
    <w:rsid w:val="005F0310"/>
    <w:rsid w:val="005F147F"/>
    <w:rsid w:val="005F4660"/>
    <w:rsid w:val="005F7988"/>
    <w:rsid w:val="00603A20"/>
    <w:rsid w:val="00604AEE"/>
    <w:rsid w:val="00607F70"/>
    <w:rsid w:val="0062458D"/>
    <w:rsid w:val="006325FA"/>
    <w:rsid w:val="00634D9E"/>
    <w:rsid w:val="00647199"/>
    <w:rsid w:val="00656FB2"/>
    <w:rsid w:val="006612D9"/>
    <w:rsid w:val="00673A57"/>
    <w:rsid w:val="00695D93"/>
    <w:rsid w:val="00697921"/>
    <w:rsid w:val="006A70BC"/>
    <w:rsid w:val="006B176B"/>
    <w:rsid w:val="006B733B"/>
    <w:rsid w:val="006C39A9"/>
    <w:rsid w:val="006D5DD7"/>
    <w:rsid w:val="006E5C6A"/>
    <w:rsid w:val="00704213"/>
    <w:rsid w:val="00712ABC"/>
    <w:rsid w:val="00714B08"/>
    <w:rsid w:val="007209B7"/>
    <w:rsid w:val="0072261E"/>
    <w:rsid w:val="00744777"/>
    <w:rsid w:val="00744DCB"/>
    <w:rsid w:val="00746519"/>
    <w:rsid w:val="007538F4"/>
    <w:rsid w:val="00764532"/>
    <w:rsid w:val="007673F3"/>
    <w:rsid w:val="007950BA"/>
    <w:rsid w:val="00797CD9"/>
    <w:rsid w:val="007A2CEB"/>
    <w:rsid w:val="007A6FBD"/>
    <w:rsid w:val="007B31C3"/>
    <w:rsid w:val="007C5363"/>
    <w:rsid w:val="007D0C22"/>
    <w:rsid w:val="007E320A"/>
    <w:rsid w:val="007E33CC"/>
    <w:rsid w:val="007E410F"/>
    <w:rsid w:val="00804143"/>
    <w:rsid w:val="00813BEE"/>
    <w:rsid w:val="008157EE"/>
    <w:rsid w:val="008201E0"/>
    <w:rsid w:val="00822778"/>
    <w:rsid w:val="008235C6"/>
    <w:rsid w:val="00823BCD"/>
    <w:rsid w:val="008240F2"/>
    <w:rsid w:val="00830E67"/>
    <w:rsid w:val="0083526E"/>
    <w:rsid w:val="008371EB"/>
    <w:rsid w:val="00841782"/>
    <w:rsid w:val="00850100"/>
    <w:rsid w:val="0085074A"/>
    <w:rsid w:val="00851F16"/>
    <w:rsid w:val="008537ED"/>
    <w:rsid w:val="0085536C"/>
    <w:rsid w:val="0086535B"/>
    <w:rsid w:val="00865877"/>
    <w:rsid w:val="00881AE0"/>
    <w:rsid w:val="00892CE1"/>
    <w:rsid w:val="008947A4"/>
    <w:rsid w:val="008B73B2"/>
    <w:rsid w:val="008D164F"/>
    <w:rsid w:val="008D290C"/>
    <w:rsid w:val="008D2D5D"/>
    <w:rsid w:val="008D30DA"/>
    <w:rsid w:val="008D74E0"/>
    <w:rsid w:val="008E1F42"/>
    <w:rsid w:val="008F560A"/>
    <w:rsid w:val="009043C4"/>
    <w:rsid w:val="0090575A"/>
    <w:rsid w:val="00912381"/>
    <w:rsid w:val="00912FD7"/>
    <w:rsid w:val="00920456"/>
    <w:rsid w:val="009205ED"/>
    <w:rsid w:val="009246B5"/>
    <w:rsid w:val="009257E8"/>
    <w:rsid w:val="0093334B"/>
    <w:rsid w:val="00933EAA"/>
    <w:rsid w:val="00936CD0"/>
    <w:rsid w:val="0095283B"/>
    <w:rsid w:val="009616CE"/>
    <w:rsid w:val="00963F2B"/>
    <w:rsid w:val="009728AB"/>
    <w:rsid w:val="00983A22"/>
    <w:rsid w:val="009A19F3"/>
    <w:rsid w:val="009A5596"/>
    <w:rsid w:val="009A571A"/>
    <w:rsid w:val="009C6715"/>
    <w:rsid w:val="009C79DC"/>
    <w:rsid w:val="009D1CF2"/>
    <w:rsid w:val="009D3AE1"/>
    <w:rsid w:val="009D3DDD"/>
    <w:rsid w:val="009D42B3"/>
    <w:rsid w:val="009E67AC"/>
    <w:rsid w:val="009F32BA"/>
    <w:rsid w:val="009F77F4"/>
    <w:rsid w:val="00A102FF"/>
    <w:rsid w:val="00A12564"/>
    <w:rsid w:val="00A15AFB"/>
    <w:rsid w:val="00A206A7"/>
    <w:rsid w:val="00A30D72"/>
    <w:rsid w:val="00A3241E"/>
    <w:rsid w:val="00A34214"/>
    <w:rsid w:val="00A40428"/>
    <w:rsid w:val="00A430DB"/>
    <w:rsid w:val="00A43AA2"/>
    <w:rsid w:val="00A50EA0"/>
    <w:rsid w:val="00A60E79"/>
    <w:rsid w:val="00A71C09"/>
    <w:rsid w:val="00AA2E1F"/>
    <w:rsid w:val="00AA30DB"/>
    <w:rsid w:val="00AA3201"/>
    <w:rsid w:val="00AB7A31"/>
    <w:rsid w:val="00AC264B"/>
    <w:rsid w:val="00AC2819"/>
    <w:rsid w:val="00AD1AA8"/>
    <w:rsid w:val="00AD43E6"/>
    <w:rsid w:val="00AD5EB1"/>
    <w:rsid w:val="00AF438C"/>
    <w:rsid w:val="00AF6772"/>
    <w:rsid w:val="00B14730"/>
    <w:rsid w:val="00B22AE2"/>
    <w:rsid w:val="00B3484D"/>
    <w:rsid w:val="00B428E2"/>
    <w:rsid w:val="00B5436F"/>
    <w:rsid w:val="00B553F7"/>
    <w:rsid w:val="00B65C49"/>
    <w:rsid w:val="00B67D14"/>
    <w:rsid w:val="00B67E9E"/>
    <w:rsid w:val="00B80C70"/>
    <w:rsid w:val="00B812E0"/>
    <w:rsid w:val="00B833B5"/>
    <w:rsid w:val="00B846AA"/>
    <w:rsid w:val="00B84B25"/>
    <w:rsid w:val="00B92499"/>
    <w:rsid w:val="00B96BFB"/>
    <w:rsid w:val="00BA19C7"/>
    <w:rsid w:val="00BD04A0"/>
    <w:rsid w:val="00BE1EA0"/>
    <w:rsid w:val="00BE3389"/>
    <w:rsid w:val="00BE50C4"/>
    <w:rsid w:val="00BF1306"/>
    <w:rsid w:val="00C02914"/>
    <w:rsid w:val="00C0600A"/>
    <w:rsid w:val="00C07551"/>
    <w:rsid w:val="00C143AA"/>
    <w:rsid w:val="00C17D44"/>
    <w:rsid w:val="00C204F9"/>
    <w:rsid w:val="00C22CB9"/>
    <w:rsid w:val="00C258AD"/>
    <w:rsid w:val="00C271CE"/>
    <w:rsid w:val="00C30738"/>
    <w:rsid w:val="00C3130E"/>
    <w:rsid w:val="00C339F6"/>
    <w:rsid w:val="00C36E10"/>
    <w:rsid w:val="00C413A0"/>
    <w:rsid w:val="00C47EA2"/>
    <w:rsid w:val="00C50657"/>
    <w:rsid w:val="00C753F6"/>
    <w:rsid w:val="00C82FAC"/>
    <w:rsid w:val="00C90B1D"/>
    <w:rsid w:val="00C955F9"/>
    <w:rsid w:val="00CA3911"/>
    <w:rsid w:val="00CB403A"/>
    <w:rsid w:val="00CB6D6E"/>
    <w:rsid w:val="00CB7795"/>
    <w:rsid w:val="00CC492C"/>
    <w:rsid w:val="00CC4ECD"/>
    <w:rsid w:val="00CD41DB"/>
    <w:rsid w:val="00CE27AB"/>
    <w:rsid w:val="00CE7984"/>
    <w:rsid w:val="00CF27AC"/>
    <w:rsid w:val="00D009BD"/>
    <w:rsid w:val="00D0204B"/>
    <w:rsid w:val="00D0574D"/>
    <w:rsid w:val="00D22E5D"/>
    <w:rsid w:val="00D270D4"/>
    <w:rsid w:val="00D32387"/>
    <w:rsid w:val="00D50BDB"/>
    <w:rsid w:val="00D57F1A"/>
    <w:rsid w:val="00D60A9C"/>
    <w:rsid w:val="00D63A3F"/>
    <w:rsid w:val="00D63F5B"/>
    <w:rsid w:val="00D65A5D"/>
    <w:rsid w:val="00D7322F"/>
    <w:rsid w:val="00D747A6"/>
    <w:rsid w:val="00D847F8"/>
    <w:rsid w:val="00D93F0B"/>
    <w:rsid w:val="00DA4C92"/>
    <w:rsid w:val="00DB6452"/>
    <w:rsid w:val="00DB682F"/>
    <w:rsid w:val="00DC3633"/>
    <w:rsid w:val="00DC376F"/>
    <w:rsid w:val="00DD4120"/>
    <w:rsid w:val="00DE2A77"/>
    <w:rsid w:val="00DE5758"/>
    <w:rsid w:val="00DE687B"/>
    <w:rsid w:val="00E00D9F"/>
    <w:rsid w:val="00E0148F"/>
    <w:rsid w:val="00E03822"/>
    <w:rsid w:val="00E0493D"/>
    <w:rsid w:val="00E10313"/>
    <w:rsid w:val="00E10BB8"/>
    <w:rsid w:val="00E1746E"/>
    <w:rsid w:val="00E23318"/>
    <w:rsid w:val="00E23CBA"/>
    <w:rsid w:val="00E26008"/>
    <w:rsid w:val="00E35F0A"/>
    <w:rsid w:val="00E37A63"/>
    <w:rsid w:val="00E4461D"/>
    <w:rsid w:val="00E448C5"/>
    <w:rsid w:val="00E63BFD"/>
    <w:rsid w:val="00E7003E"/>
    <w:rsid w:val="00E73AC2"/>
    <w:rsid w:val="00E74E2A"/>
    <w:rsid w:val="00E75D82"/>
    <w:rsid w:val="00E813F7"/>
    <w:rsid w:val="00E8165A"/>
    <w:rsid w:val="00E86694"/>
    <w:rsid w:val="00EA79D3"/>
    <w:rsid w:val="00EB3506"/>
    <w:rsid w:val="00EB44E0"/>
    <w:rsid w:val="00EB63CD"/>
    <w:rsid w:val="00EF0655"/>
    <w:rsid w:val="00EF175F"/>
    <w:rsid w:val="00F02950"/>
    <w:rsid w:val="00F02E5D"/>
    <w:rsid w:val="00F36FD0"/>
    <w:rsid w:val="00F46BC2"/>
    <w:rsid w:val="00F60811"/>
    <w:rsid w:val="00F64CB5"/>
    <w:rsid w:val="00F70587"/>
    <w:rsid w:val="00F75121"/>
    <w:rsid w:val="00F80141"/>
    <w:rsid w:val="00F83A96"/>
    <w:rsid w:val="00F8482A"/>
    <w:rsid w:val="00F90D7C"/>
    <w:rsid w:val="00F91550"/>
    <w:rsid w:val="00F94878"/>
    <w:rsid w:val="00FA3C34"/>
    <w:rsid w:val="00FB1D57"/>
    <w:rsid w:val="00FC2D5B"/>
    <w:rsid w:val="00FC7915"/>
    <w:rsid w:val="00FD63AE"/>
    <w:rsid w:val="00FE6BF3"/>
    <w:rsid w:val="00FF013D"/>
    <w:rsid w:val="00FF09BC"/>
    <w:rsid w:val="00FF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E2F658"/>
  <w15:docId w15:val="{6E2E57F9-C8B9-4DAF-BF43-09E28DF6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lang w:val="ru-RU" w:eastAsia="en-US"/>
    </w:rPr>
  </w:style>
  <w:style w:type="paragraph" w:styleId="3">
    <w:name w:val="heading 3"/>
    <w:basedOn w:val="a"/>
    <w:next w:val="a"/>
    <w:link w:val="30"/>
    <w:qFormat/>
    <w:rsid w:val="005B56FA"/>
    <w:pPr>
      <w:keepNext/>
      <w:autoSpaceDE/>
      <w:autoSpaceDN/>
      <w:spacing w:before="120"/>
      <w:ind w:left="567"/>
      <w:outlineLvl w:val="2"/>
    </w:pPr>
    <w:rPr>
      <w:rFonts w:ascii="Antiqua" w:hAnsi="Antiqua"/>
      <w:b/>
      <w:i/>
      <w:sz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4"/>
    <w:uiPriority w:val="99"/>
    <w:pPr>
      <w:widowControl/>
      <w:spacing w:before="120"/>
      <w:ind w:firstLine="567"/>
    </w:pPr>
    <w:rPr>
      <w:rFonts w:ascii="Antiqua" w:hAnsi="Antiqua" w:cs="Antiqua"/>
      <w:spacing w:val="0"/>
      <w:kern w:val="0"/>
      <w:position w:val="0"/>
      <w:sz w:val="26"/>
      <w:szCs w:val="26"/>
      <w:lang w:val="uk-UA"/>
    </w:rPr>
  </w:style>
  <w:style w:type="paragraph" w:customStyle="1" w:styleId="a5">
    <w:name w:val="Назва документа"/>
    <w:basedOn w:val="a4"/>
    <w:next w:val="a3"/>
    <w:uiPriority w:val="99"/>
    <w:pPr>
      <w:keepNext/>
      <w:keepLines/>
      <w:widowControl/>
      <w:spacing w:before="240" w:after="240"/>
      <w:jc w:val="center"/>
    </w:pPr>
    <w:rPr>
      <w:rFonts w:ascii="Antiqua" w:hAnsi="Antiqua" w:cs="Antiqua"/>
      <w:b/>
      <w:bCs/>
      <w:spacing w:val="0"/>
      <w:kern w:val="0"/>
      <w:position w:val="0"/>
      <w:sz w:val="26"/>
      <w:szCs w:val="26"/>
      <w:lang w:val="uk-UA"/>
    </w:rPr>
  </w:style>
  <w:style w:type="paragraph" w:customStyle="1" w:styleId="1">
    <w:name w:val="Підпис1"/>
    <w:basedOn w:val="a4"/>
    <w:uiPriority w:val="99"/>
    <w:pPr>
      <w:keepLines/>
      <w:widowControl/>
      <w:tabs>
        <w:tab w:val="center" w:pos="2268"/>
        <w:tab w:val="left" w:pos="6804"/>
      </w:tabs>
      <w:spacing w:before="360"/>
    </w:pPr>
    <w:rPr>
      <w:rFonts w:ascii="Antiqua" w:hAnsi="Antiqua" w:cs="Antiqua"/>
      <w:b/>
      <w:bCs/>
      <w:spacing w:val="0"/>
      <w:kern w:val="0"/>
      <w:position w:val="-48"/>
      <w:sz w:val="26"/>
      <w:szCs w:val="26"/>
      <w:lang w:val="uk-UA"/>
    </w:rPr>
  </w:style>
  <w:style w:type="paragraph" w:customStyle="1" w:styleId="st2">
    <w:name w:val="st2"/>
    <w:uiPriority w:val="99"/>
    <w:pPr>
      <w:widowControl w:val="0"/>
      <w:autoSpaceDE w:val="0"/>
      <w:autoSpaceDN w:val="0"/>
      <w:spacing w:after="150"/>
      <w:ind w:firstLine="450"/>
      <w:jc w:val="both"/>
    </w:pPr>
    <w:rPr>
      <w:rFonts w:cs="Calibri"/>
      <w:sz w:val="24"/>
      <w:szCs w:val="24"/>
      <w:lang w:eastAsia="en-US"/>
    </w:rPr>
  </w:style>
  <w:style w:type="character" w:customStyle="1" w:styleId="st42">
    <w:name w:val="st42"/>
    <w:uiPriority w:val="99"/>
    <w:rPr>
      <w:color w:val="000000"/>
    </w:rPr>
  </w:style>
  <w:style w:type="paragraph" w:styleId="a6">
    <w:name w:val="Plain Text"/>
    <w:basedOn w:val="a4"/>
    <w:link w:val="a7"/>
    <w:uiPriority w:val="99"/>
    <w:pPr>
      <w:widowControl/>
    </w:pPr>
    <w:rPr>
      <w:rFonts w:ascii="Courier New" w:hAnsi="Courier New" w:cs="Courier New"/>
      <w:noProof/>
      <w:spacing w:val="0"/>
      <w:kern w:val="0"/>
      <w:position w:val="0"/>
      <w:sz w:val="20"/>
      <w:szCs w:val="20"/>
    </w:rPr>
  </w:style>
  <w:style w:type="character" w:customStyle="1" w:styleId="a7">
    <w:name w:val="Текст Знак"/>
    <w:link w:val="a6"/>
    <w:uiPriority w:val="99"/>
    <w:rPr>
      <w:rFonts w:ascii="Courier New" w:hAnsi="Courier New" w:cs="Courier New"/>
      <w:noProof/>
      <w:sz w:val="20"/>
      <w:szCs w:val="20"/>
    </w:rPr>
  </w:style>
  <w:style w:type="paragraph" w:customStyle="1" w:styleId="CM4">
    <w:name w:val="CM4"/>
    <w:basedOn w:val="a4"/>
    <w:next w:val="a4"/>
    <w:uiPriority w:val="99"/>
    <w:pPr>
      <w:widowControl/>
    </w:pPr>
    <w:rPr>
      <w:rFonts w:ascii="EUAlbertina" w:hAnsi="EUAlbertina" w:cs="EUAlbertina"/>
      <w:spacing w:val="0"/>
      <w:kern w:val="0"/>
      <w:position w:val="0"/>
      <w:lang w:val="ru-RU"/>
    </w:rPr>
  </w:style>
  <w:style w:type="paragraph" w:customStyle="1" w:styleId="10">
    <w:name w:val="Знак1 Знак Знак Знак Знак Знак Знак Знак Знак Знак Знак Знак Знак"/>
    <w:basedOn w:val="a4"/>
    <w:pPr>
      <w:widowControl/>
    </w:pPr>
    <w:rPr>
      <w:rFonts w:ascii="Verdana" w:hAnsi="Verdana" w:cs="Verdana"/>
      <w:spacing w:val="0"/>
      <w:kern w:val="0"/>
      <w:position w:val="0"/>
      <w:sz w:val="20"/>
      <w:szCs w:val="20"/>
    </w:rPr>
  </w:style>
  <w:style w:type="paragraph" w:customStyle="1" w:styleId="Default">
    <w:name w:val="Default"/>
    <w:pPr>
      <w:autoSpaceDE w:val="0"/>
      <w:autoSpaceDN w:val="0"/>
    </w:pPr>
    <w:rPr>
      <w:rFonts w:ascii="EUAlbertina" w:hAnsi="EUAlbertina" w:cs="EUAlbertina"/>
      <w:color w:val="000000"/>
      <w:sz w:val="24"/>
      <w:szCs w:val="24"/>
      <w:lang w:val="ru-RU" w:eastAsia="en-US"/>
    </w:rPr>
  </w:style>
  <w:style w:type="character" w:customStyle="1" w:styleId="FontStyle33">
    <w:name w:val="Font Style33"/>
    <w:uiPriority w:val="99"/>
    <w:rPr>
      <w:rFonts w:ascii="Book Antiqua" w:hAnsi="Book Antiqua" w:cs="Book Antiqua"/>
      <w:i/>
      <w:iCs/>
      <w:color w:val="000000"/>
      <w:sz w:val="12"/>
      <w:szCs w:val="12"/>
    </w:rPr>
  </w:style>
  <w:style w:type="paragraph" w:customStyle="1" w:styleId="Style7">
    <w:name w:val="Style7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7">
    <w:name w:val="Style17"/>
    <w:basedOn w:val="a4"/>
    <w:uiPriority w:val="99"/>
    <w:pPr>
      <w:spacing w:line="192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4">
    <w:name w:val="Font Style34"/>
    <w:uiPriority w:val="99"/>
    <w:rPr>
      <w:rFonts w:ascii="Book Antiqua" w:hAnsi="Book Antiqua" w:cs="Book Antiqua"/>
      <w:b/>
      <w:bCs/>
      <w:color w:val="000000"/>
      <w:sz w:val="12"/>
      <w:szCs w:val="12"/>
    </w:rPr>
  </w:style>
  <w:style w:type="paragraph" w:customStyle="1" w:styleId="Style1">
    <w:name w:val="Style1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">
    <w:name w:val="Style2"/>
    <w:basedOn w:val="a4"/>
    <w:uiPriority w:val="99"/>
    <w:pPr>
      <w:spacing w:line="619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3">
    <w:name w:val="Style3"/>
    <w:basedOn w:val="a4"/>
    <w:uiPriority w:val="99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4">
    <w:name w:val="Style4"/>
    <w:basedOn w:val="a4"/>
    <w:pPr>
      <w:spacing w:line="346" w:lineRule="exact"/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5">
    <w:name w:val="Style5"/>
    <w:basedOn w:val="a4"/>
    <w:uiPriority w:val="99"/>
    <w:pPr>
      <w:spacing w:line="216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6">
    <w:name w:val="Style6"/>
    <w:basedOn w:val="a4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8">
    <w:name w:val="Style8"/>
    <w:basedOn w:val="a4"/>
    <w:pPr>
      <w:spacing w:line="213" w:lineRule="exact"/>
      <w:ind w:hanging="49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9">
    <w:name w:val="Style9"/>
    <w:basedOn w:val="a4"/>
    <w:uiPriority w:val="99"/>
    <w:pPr>
      <w:spacing w:line="21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0">
    <w:name w:val="Style1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1">
    <w:name w:val="Style11"/>
    <w:basedOn w:val="a4"/>
    <w:uiPriority w:val="99"/>
    <w:pPr>
      <w:spacing w:line="173" w:lineRule="exact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2">
    <w:name w:val="Style12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3">
    <w:name w:val="Style13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4">
    <w:name w:val="Style14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5">
    <w:name w:val="Style15"/>
    <w:basedOn w:val="a4"/>
    <w:uiPriority w:val="99"/>
    <w:pPr>
      <w:spacing w:line="213" w:lineRule="exact"/>
      <w:ind w:hanging="269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6">
    <w:name w:val="Style16"/>
    <w:basedOn w:val="a4"/>
    <w:uiPriority w:val="99"/>
    <w:pPr>
      <w:jc w:val="center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8">
    <w:name w:val="Style18"/>
    <w:basedOn w:val="a4"/>
    <w:uiPriority w:val="99"/>
    <w:pPr>
      <w:spacing w:line="211" w:lineRule="exact"/>
      <w:ind w:hanging="504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19">
    <w:name w:val="Style19"/>
    <w:basedOn w:val="a4"/>
    <w:uiPriority w:val="99"/>
    <w:pPr>
      <w:spacing w:line="216" w:lineRule="exact"/>
      <w:ind w:hanging="221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0">
    <w:name w:val="Style20"/>
    <w:basedOn w:val="a4"/>
    <w:uiPriority w:val="99"/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1">
    <w:name w:val="Style21"/>
    <w:basedOn w:val="a4"/>
    <w:uiPriority w:val="99"/>
    <w:pPr>
      <w:spacing w:line="341" w:lineRule="exact"/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2">
    <w:name w:val="Style22"/>
    <w:basedOn w:val="a4"/>
    <w:uiPriority w:val="99"/>
    <w:pPr>
      <w:spacing w:line="576" w:lineRule="exact"/>
      <w:ind w:firstLine="802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3">
    <w:name w:val="Style23"/>
    <w:basedOn w:val="a4"/>
    <w:uiPriority w:val="99"/>
    <w:pPr>
      <w:spacing w:line="192" w:lineRule="exact"/>
      <w:ind w:hanging="245"/>
    </w:pPr>
    <w:rPr>
      <w:rFonts w:ascii="Book Antiqua" w:hAnsi="Book Antiqua" w:cs="Book Antiqua"/>
      <w:spacing w:val="0"/>
      <w:kern w:val="0"/>
      <w:position w:val="0"/>
      <w:lang w:val="ru-RU"/>
    </w:rPr>
  </w:style>
  <w:style w:type="paragraph" w:customStyle="1" w:styleId="Style24">
    <w:name w:val="Style24"/>
    <w:basedOn w:val="a4"/>
    <w:uiPriority w:val="99"/>
    <w:pPr>
      <w:spacing w:line="214" w:lineRule="exact"/>
      <w:ind w:hanging="283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26">
    <w:name w:val="Font Style26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27">
    <w:name w:val="Font Style27"/>
    <w:uiPriority w:val="99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28">
    <w:name w:val="Font Style28"/>
    <w:uiPriority w:val="99"/>
    <w:rPr>
      <w:rFonts w:ascii="Book Antiqua" w:hAnsi="Book Antiqua" w:cs="Book Antiqua"/>
      <w:i/>
      <w:iCs/>
      <w:color w:val="000000"/>
      <w:sz w:val="16"/>
      <w:szCs w:val="16"/>
    </w:rPr>
  </w:style>
  <w:style w:type="character" w:customStyle="1" w:styleId="FontStyle29">
    <w:name w:val="Font Style29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0">
    <w:name w:val="Font Style30"/>
    <w:uiPriority w:val="99"/>
    <w:rPr>
      <w:rFonts w:ascii="Book Antiqua" w:hAnsi="Book Antiqua" w:cs="Book Antiqua"/>
      <w:smallCaps/>
      <w:color w:val="000000"/>
      <w:sz w:val="12"/>
      <w:szCs w:val="12"/>
    </w:rPr>
  </w:style>
  <w:style w:type="character" w:customStyle="1" w:styleId="FontStyle31">
    <w:name w:val="Font Style31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FontStyle32">
    <w:name w:val="Font Style32"/>
    <w:uiPriority w:val="99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Pr>
      <w:rFonts w:ascii="Book Antiqua" w:hAnsi="Book Antiqua" w:cs="Book Antiqua"/>
      <w:color w:val="000000"/>
      <w:sz w:val="12"/>
      <w:szCs w:val="12"/>
    </w:rPr>
  </w:style>
  <w:style w:type="character" w:customStyle="1" w:styleId="2">
    <w:name w:val="Знак Знак2"/>
    <w:uiPriority w:val="99"/>
  </w:style>
  <w:style w:type="paragraph" w:customStyle="1" w:styleId="a4">
    <w:name w:val="Стиль"/>
    <w:uiPriority w:val="99"/>
    <w:pPr>
      <w:widowControl w:val="0"/>
      <w:autoSpaceDE w:val="0"/>
      <w:autoSpaceDN w:val="0"/>
    </w:pPr>
    <w:rPr>
      <w:rFonts w:ascii="Times New Roman" w:hAnsi="Times New Roman"/>
      <w:spacing w:val="-1"/>
      <w:kern w:val="65535"/>
      <w:position w:val="-1"/>
      <w:sz w:val="24"/>
      <w:szCs w:val="24"/>
      <w:lang w:val="en-US" w:eastAsia="en-US"/>
    </w:rPr>
  </w:style>
  <w:style w:type="character" w:customStyle="1" w:styleId="11">
    <w:name w:val="Знак Знак1"/>
    <w:uiPriority w:val="99"/>
    <w:rPr>
      <w:sz w:val="24"/>
      <w:szCs w:val="24"/>
    </w:rPr>
  </w:style>
  <w:style w:type="character" w:customStyle="1" w:styleId="a8">
    <w:name w:val="Знак Знак"/>
    <w:uiPriority w:val="99"/>
    <w:rPr>
      <w:sz w:val="24"/>
      <w:szCs w:val="24"/>
    </w:rPr>
  </w:style>
  <w:style w:type="paragraph" w:customStyle="1" w:styleId="12">
    <w:name w:val="Текст выноски1"/>
    <w:basedOn w:val="a4"/>
    <w:uiPriority w:val="99"/>
    <w:rPr>
      <w:rFonts w:ascii="Tahoma" w:hAnsi="Tahoma" w:cs="Tahoma"/>
      <w:spacing w:val="0"/>
      <w:kern w:val="0"/>
      <w:position w:val="0"/>
      <w:sz w:val="16"/>
      <w:szCs w:val="16"/>
      <w:lang w:val="ru-RU"/>
    </w:rPr>
  </w:style>
  <w:style w:type="paragraph" w:customStyle="1" w:styleId="def">
    <w:name w:val="def"/>
    <w:basedOn w:val="a4"/>
    <w:uiPriority w:val="99"/>
    <w:pPr>
      <w:widowControl/>
      <w:spacing w:before="100" w:after="100"/>
      <w:ind w:hanging="120"/>
      <w:jc w:val="both"/>
    </w:pPr>
    <w:rPr>
      <w:rFonts w:ascii="Palatino Linotype" w:hAnsi="Palatino Linotype" w:cs="Palatino Linotype"/>
      <w:spacing w:val="0"/>
      <w:kern w:val="0"/>
      <w:position w:val="0"/>
      <w:sz w:val="20"/>
      <w:szCs w:val="20"/>
      <w:lang w:val="uk-UA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character" w:styleId="a9">
    <w:name w:val="page number"/>
    <w:basedOn w:val="a0"/>
    <w:uiPriority w:val="99"/>
  </w:style>
  <w:style w:type="paragraph" w:styleId="aa">
    <w:name w:val="header"/>
    <w:basedOn w:val="a4"/>
    <w:link w:val="ab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b">
    <w:name w:val="Верхний колонтитул Знак"/>
    <w:link w:val="aa"/>
    <w:uiPriority w:val="99"/>
    <w:rPr>
      <w:rFonts w:ascii="Calibri" w:hAnsi="Calibri" w:cs="Calibri"/>
      <w:lang w:val="uk-UA"/>
    </w:rPr>
  </w:style>
  <w:style w:type="paragraph" w:styleId="ac">
    <w:name w:val="footer"/>
    <w:basedOn w:val="a4"/>
    <w:link w:val="ad"/>
    <w:uiPriority w:val="99"/>
    <w:pPr>
      <w:widowControl/>
      <w:tabs>
        <w:tab w:val="center" w:pos="4153"/>
        <w:tab w:val="right" w:pos="8306"/>
      </w:tabs>
      <w:spacing w:after="200" w:line="276" w:lineRule="auto"/>
    </w:pPr>
    <w:rPr>
      <w:rFonts w:ascii="Calibri" w:hAnsi="Calibri" w:cs="Calibri"/>
      <w:spacing w:val="0"/>
      <w:kern w:val="0"/>
      <w:position w:val="0"/>
      <w:sz w:val="22"/>
      <w:szCs w:val="22"/>
      <w:lang w:val="uk-UA"/>
    </w:rPr>
  </w:style>
  <w:style w:type="character" w:customStyle="1" w:styleId="ad">
    <w:name w:val="Нижний колонтитул Знак"/>
    <w:link w:val="ac"/>
    <w:uiPriority w:val="99"/>
    <w:rPr>
      <w:rFonts w:ascii="Calibri" w:hAnsi="Calibri" w:cs="Calibri"/>
      <w:lang w:val="uk-UA"/>
    </w:rPr>
  </w:style>
  <w:style w:type="paragraph" w:styleId="ae">
    <w:name w:val="footnote text"/>
    <w:basedOn w:val="a"/>
    <w:link w:val="af"/>
    <w:uiPriority w:val="99"/>
    <w:semiHidden/>
    <w:unhideWhenUsed/>
    <w:rsid w:val="005B4B6B"/>
  </w:style>
  <w:style w:type="character" w:customStyle="1" w:styleId="af">
    <w:name w:val="Текст сноски Знак"/>
    <w:basedOn w:val="a0"/>
    <w:link w:val="ae"/>
    <w:uiPriority w:val="99"/>
    <w:semiHidden/>
    <w:rsid w:val="005B4B6B"/>
    <w:rPr>
      <w:rFonts w:ascii="Times New Roman" w:hAnsi="Times New Roman"/>
      <w:lang w:val="ru-RU" w:eastAsia="en-US"/>
    </w:rPr>
  </w:style>
  <w:style w:type="character" w:styleId="af0">
    <w:name w:val="footnote reference"/>
    <w:basedOn w:val="a0"/>
    <w:uiPriority w:val="99"/>
    <w:semiHidden/>
    <w:unhideWhenUsed/>
    <w:rsid w:val="005B4B6B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3D21C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D21C5"/>
  </w:style>
  <w:style w:type="character" w:customStyle="1" w:styleId="af3">
    <w:name w:val="Текст примечания Знак"/>
    <w:basedOn w:val="a0"/>
    <w:link w:val="af2"/>
    <w:uiPriority w:val="99"/>
    <w:semiHidden/>
    <w:rsid w:val="003D21C5"/>
    <w:rPr>
      <w:rFonts w:ascii="Times New Roman" w:hAnsi="Times New Roman"/>
      <w:lang w:val="ru-RU"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D21C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D21C5"/>
    <w:rPr>
      <w:rFonts w:ascii="Times New Roman" w:hAnsi="Times New Roman"/>
      <w:b/>
      <w:bCs/>
      <w:lang w:val="ru-RU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3D21C5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D21C5"/>
    <w:rPr>
      <w:rFonts w:ascii="Segoe UI" w:hAnsi="Segoe UI" w:cs="Segoe UI"/>
      <w:sz w:val="18"/>
      <w:szCs w:val="18"/>
      <w:lang w:val="ru-RU" w:eastAsia="en-US"/>
    </w:rPr>
  </w:style>
  <w:style w:type="character" w:customStyle="1" w:styleId="30">
    <w:name w:val="Заголовок 3 Знак"/>
    <w:basedOn w:val="a0"/>
    <w:link w:val="3"/>
    <w:rsid w:val="005B56FA"/>
    <w:rPr>
      <w:rFonts w:ascii="Antiqua" w:hAnsi="Antiqua"/>
      <w:b/>
      <w:i/>
      <w:sz w:val="26"/>
      <w:lang w:eastAsia="ru-RU"/>
    </w:rPr>
  </w:style>
  <w:style w:type="paragraph" w:styleId="af8">
    <w:name w:val="Revision"/>
    <w:hidden/>
    <w:uiPriority w:val="99"/>
    <w:semiHidden/>
    <w:rsid w:val="006B176B"/>
    <w:rPr>
      <w:rFonts w:ascii="Times New Roman" w:hAnsi="Times New Roman"/>
      <w:lang w:val="ru-RU" w:eastAsia="en-US"/>
    </w:rPr>
  </w:style>
  <w:style w:type="paragraph" w:customStyle="1" w:styleId="tbl-norm">
    <w:name w:val="tbl-norm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hd-column">
    <w:name w:val="hd-column"/>
    <w:basedOn w:val="a"/>
    <w:rsid w:val="000635AB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subscript">
    <w:name w:val="subscript"/>
    <w:basedOn w:val="a0"/>
    <w:rsid w:val="000635AB"/>
  </w:style>
  <w:style w:type="character" w:customStyle="1" w:styleId="apple-converted-space">
    <w:name w:val="apple-converted-space"/>
    <w:basedOn w:val="a0"/>
    <w:rsid w:val="000635AB"/>
  </w:style>
  <w:style w:type="character" w:customStyle="1" w:styleId="FontStyle46">
    <w:name w:val="Font Style46"/>
    <w:basedOn w:val="a0"/>
    <w:rsid w:val="006B733B"/>
    <w:rPr>
      <w:rFonts w:ascii="Palatino Linotype" w:hAnsi="Palatino Linotype" w:cs="Palatino Linotype"/>
      <w:sz w:val="16"/>
      <w:szCs w:val="16"/>
    </w:rPr>
  </w:style>
  <w:style w:type="character" w:customStyle="1" w:styleId="FontStyle45">
    <w:name w:val="Font Style45"/>
    <w:basedOn w:val="a0"/>
    <w:rsid w:val="006B733B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63">
    <w:name w:val="Font Style63"/>
    <w:basedOn w:val="a0"/>
    <w:rsid w:val="00C17D44"/>
    <w:rPr>
      <w:rFonts w:ascii="Palatino Linotype" w:hAnsi="Palatino Linotype" w:cs="Palatino Linotype"/>
      <w:sz w:val="14"/>
      <w:szCs w:val="14"/>
    </w:rPr>
  </w:style>
  <w:style w:type="paragraph" w:customStyle="1" w:styleId="Style30">
    <w:name w:val="Style30"/>
    <w:basedOn w:val="a"/>
    <w:rsid w:val="00C17D44"/>
    <w:pPr>
      <w:widowControl w:val="0"/>
      <w:adjustRightInd w:val="0"/>
      <w:jc w:val="center"/>
    </w:pPr>
    <w:rPr>
      <w:rFonts w:ascii="Palatino Linotype" w:hAnsi="Palatino Linotype"/>
      <w:sz w:val="24"/>
      <w:szCs w:val="24"/>
      <w:lang w:val="uk-UA" w:eastAsia="uk-UA"/>
    </w:rPr>
  </w:style>
  <w:style w:type="character" w:customStyle="1" w:styleId="FontStyle47">
    <w:name w:val="Font Style47"/>
    <w:basedOn w:val="a0"/>
    <w:rsid w:val="00E0493D"/>
    <w:rPr>
      <w:rFonts w:ascii="Palatino Linotype" w:hAnsi="Palatino Linotype" w:cs="Palatino Linotype"/>
      <w:i/>
      <w:iCs/>
      <w:sz w:val="16"/>
      <w:szCs w:val="16"/>
    </w:rPr>
  </w:style>
  <w:style w:type="character" w:customStyle="1" w:styleId="20">
    <w:name w:val="Основной текст (2)"/>
    <w:basedOn w:val="a0"/>
    <w:rsid w:val="00851F16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13">
    <w:name w:val="Основной текст1"/>
    <w:basedOn w:val="a0"/>
    <w:rsid w:val="00851F1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styleId="af9">
    <w:name w:val="Placeholder Text"/>
    <w:basedOn w:val="a0"/>
    <w:uiPriority w:val="99"/>
    <w:semiHidden/>
    <w:rsid w:val="001E2E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B5E34-315A-4050-BBD9-39C3820A5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1693</Words>
  <Characters>9654</Characters>
  <Application>Microsoft Office Word</Application>
  <DocSecurity>0</DocSecurity>
  <Lines>80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Проект</vt:lpstr>
      <vt:lpstr>Проект</vt:lpstr>
      <vt:lpstr>Проект</vt:lpstr>
    </vt:vector>
  </TitlesOfParts>
  <Company>ukrtest</Company>
  <LinksUpToDate>false</LinksUpToDate>
  <CharactersWithSpaces>11325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Анатолий</dc:creator>
  <cp:lastModifiedBy>Andrey</cp:lastModifiedBy>
  <cp:revision>3</cp:revision>
  <cp:lastPrinted>2019-03-18T07:50:00Z</cp:lastPrinted>
  <dcterms:created xsi:type="dcterms:W3CDTF">2019-11-15T00:17:00Z</dcterms:created>
  <dcterms:modified xsi:type="dcterms:W3CDTF">2019-11-15T00:21:00Z</dcterms:modified>
</cp:coreProperties>
</file>